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31F2A" w14:textId="77777777" w:rsidR="00736EFF" w:rsidRPr="00736EFF" w:rsidRDefault="00736EFF" w:rsidP="00736EFF">
      <w:pPr>
        <w:spacing w:line="240" w:lineRule="auto"/>
        <w:jc w:val="center"/>
        <w:rPr>
          <w:rFonts w:ascii="Times New Roman" w:eastAsia="Times New Roman" w:hAnsi="Times New Roman" w:cs="Times New Roman"/>
          <w:b/>
          <w:sz w:val="24"/>
          <w:szCs w:val="24"/>
          <w:lang w:val="en-US"/>
        </w:rPr>
      </w:pPr>
      <w:r w:rsidRPr="00736EFF">
        <w:rPr>
          <w:rFonts w:ascii="Times New Roman" w:eastAsia="Times New Roman" w:hAnsi="Times New Roman" w:cs="Times New Roman"/>
          <w:b/>
          <w:sz w:val="24"/>
          <w:szCs w:val="24"/>
          <w:lang w:val="en-US"/>
        </w:rPr>
        <w:t>Gender, Race, and Digital Methods: Analyzing the Southern Life History Project</w:t>
      </w:r>
    </w:p>
    <w:p w14:paraId="4958C475" w14:textId="1D8998F9" w:rsidR="003D3062" w:rsidRDefault="005C5AEB" w:rsidP="003D3062">
      <w:pPr>
        <w:spacing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Courtney </w:t>
      </w:r>
      <w:proofErr w:type="spellStart"/>
      <w:r>
        <w:rPr>
          <w:rFonts w:ascii="Times New Roman" w:eastAsia="Times New Roman" w:hAnsi="Times New Roman" w:cs="Times New Roman"/>
          <w:b/>
          <w:sz w:val="24"/>
          <w:szCs w:val="24"/>
          <w:lang w:val="en-US"/>
        </w:rPr>
        <w:t>Rivard</w:t>
      </w:r>
      <w:proofErr w:type="spellEnd"/>
    </w:p>
    <w:p w14:paraId="42BE4F44" w14:textId="6EBEECCB" w:rsidR="005C5AEB" w:rsidRPr="003D3062" w:rsidRDefault="005C5AEB" w:rsidP="003D3062">
      <w:pPr>
        <w:spacing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crivard@email.unc.edu</w:t>
      </w:r>
    </w:p>
    <w:p w14:paraId="00000002" w14:textId="77777777" w:rsidR="000B24FA" w:rsidRDefault="000B24FA">
      <w:pPr>
        <w:spacing w:line="240" w:lineRule="auto"/>
        <w:jc w:val="both"/>
        <w:rPr>
          <w:rFonts w:ascii="Times New Roman" w:eastAsia="Times New Roman" w:hAnsi="Times New Roman" w:cs="Times New Roman"/>
          <w:sz w:val="24"/>
          <w:szCs w:val="24"/>
        </w:rPr>
      </w:pPr>
    </w:p>
    <w:p w14:paraId="00000004" w14:textId="0046FF48" w:rsidR="000B24FA"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October 1938, William Couch wrote to</w:t>
      </w:r>
      <w:r>
        <w:rPr>
          <w:rFonts w:ascii="Times New Roman" w:eastAsia="Times New Roman" w:hAnsi="Times New Roman" w:cs="Times New Roman"/>
          <w:sz w:val="24"/>
          <w:szCs w:val="24"/>
        </w:rPr>
        <w:t xml:space="preserve"> Bernice Harris, a </w:t>
      </w:r>
      <w:r w:rsidR="003D3062">
        <w:rPr>
          <w:rFonts w:ascii="Times New Roman" w:eastAsia="Times New Roman" w:hAnsi="Times New Roman" w:cs="Times New Roman"/>
          <w:sz w:val="24"/>
          <w:szCs w:val="24"/>
        </w:rPr>
        <w:t>small-town</w:t>
      </w:r>
      <w:r>
        <w:rPr>
          <w:rFonts w:ascii="Times New Roman" w:eastAsia="Times New Roman" w:hAnsi="Times New Roman" w:cs="Times New Roman"/>
          <w:sz w:val="24"/>
          <w:szCs w:val="24"/>
        </w:rPr>
        <w:t xml:space="preserve"> writer and playwright from Seaboard, NC ask</w:t>
      </w:r>
      <w:r>
        <w:rPr>
          <w:rFonts w:ascii="Times New Roman" w:eastAsia="Times New Roman" w:hAnsi="Times New Roman" w:cs="Times New Roman"/>
          <w:sz w:val="24"/>
          <w:szCs w:val="24"/>
        </w:rPr>
        <w:t>ing her to join the Southern Life Histories Project. “</w:t>
      </w:r>
      <w:r>
        <w:rPr>
          <w:rFonts w:ascii="Times New Roman" w:eastAsia="Times New Roman" w:hAnsi="Times New Roman" w:cs="Times New Roman"/>
          <w:sz w:val="24"/>
          <w:szCs w:val="24"/>
        </w:rPr>
        <w:t>I believe you can do it better than anyone else I can find and that the stories you write will be authentic and interesting</w:t>
      </w:r>
      <w:r w:rsidR="00192806">
        <w:rPr>
          <w:rFonts w:ascii="Times New Roman" w:eastAsia="Times New Roman" w:hAnsi="Times New Roman" w:cs="Times New Roman"/>
          <w:sz w:val="24"/>
          <w:szCs w:val="24"/>
        </w:rPr>
        <w:t>.</w:t>
      </w:r>
      <w:r>
        <w:rPr>
          <w:rFonts w:ascii="Times New Roman" w:eastAsia="Times New Roman" w:hAnsi="Times New Roman" w:cs="Times New Roman"/>
          <w:sz w:val="24"/>
          <w:szCs w:val="24"/>
        </w:rPr>
        <w:t>” (1095/img_1114).</w:t>
      </w:r>
    </w:p>
    <w:p w14:paraId="00000007" w14:textId="73A2E590" w:rsidR="000B24FA" w:rsidRDefault="00396D63" w:rsidP="009A137D">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Harris agreed to </w:t>
      </w:r>
      <w:r w:rsidR="009A137D">
        <w:rPr>
          <w:rFonts w:ascii="Times New Roman" w:eastAsia="Times New Roman" w:hAnsi="Times New Roman" w:cs="Times New Roman"/>
          <w:sz w:val="24"/>
          <w:szCs w:val="24"/>
        </w:rPr>
        <w:t>join and</w:t>
      </w:r>
      <w:r>
        <w:rPr>
          <w:rFonts w:ascii="Times New Roman" w:eastAsia="Times New Roman" w:hAnsi="Times New Roman" w:cs="Times New Roman"/>
          <w:sz w:val="24"/>
          <w:szCs w:val="24"/>
        </w:rPr>
        <w:t xml:space="preserve"> went on to become the most prolific writer in the Southern Life History Project, part of the Federal Writers’ Project - a New Deal initiative designed to both give those they defined as white collar workers jobs while working to </w:t>
      </w:r>
      <w:r>
        <w:rPr>
          <w:rFonts w:ascii="Times New Roman" w:eastAsia="Times New Roman" w:hAnsi="Times New Roman" w:cs="Times New Roman"/>
          <w:sz w:val="24"/>
          <w:szCs w:val="24"/>
        </w:rPr>
        <w:t>create a pluralistic vision of America through Guidebooks, historical pamphlets and other publications intended to create pride in America. While many people have heard of the Federal Writers’ Project, especially visionary writers such as Zora Neale Hudson</w:t>
      </w:r>
      <w:r>
        <w:rPr>
          <w:rFonts w:ascii="Times New Roman" w:eastAsia="Times New Roman" w:hAnsi="Times New Roman" w:cs="Times New Roman"/>
          <w:sz w:val="24"/>
          <w:szCs w:val="24"/>
        </w:rPr>
        <w:t>, Stud Terkel, and Ralph Ellison, not many know of the work of the Southern Life History Project (SLHP). The little that has been written about the SLHP usually credits William Couch</w:t>
      </w:r>
      <w:r w:rsidR="00BF4A1B">
        <w:rPr>
          <w:rFonts w:ascii="Times New Roman" w:eastAsia="Times New Roman" w:hAnsi="Times New Roman" w:cs="Times New Roman"/>
          <w:sz w:val="24"/>
          <w:szCs w:val="24"/>
        </w:rPr>
        <w:t xml:space="preserve"> (head of UNC press and Southeast Regional Director of the FWP)</w:t>
      </w:r>
      <w:r>
        <w:rPr>
          <w:rFonts w:ascii="Times New Roman" w:eastAsia="Times New Roman" w:hAnsi="Times New Roman" w:cs="Times New Roman"/>
          <w:sz w:val="24"/>
          <w:szCs w:val="24"/>
        </w:rPr>
        <w:t xml:space="preserve"> as the brainchild behind the project and the creator of the unique versio</w:t>
      </w:r>
      <w:r>
        <w:rPr>
          <w:rFonts w:ascii="Times New Roman" w:eastAsia="Times New Roman" w:hAnsi="Times New Roman" w:cs="Times New Roman"/>
          <w:sz w:val="24"/>
          <w:szCs w:val="24"/>
        </w:rPr>
        <w:t xml:space="preserve">n of life histories that the project produced. </w:t>
      </w:r>
      <w:r>
        <w:rPr>
          <w:rFonts w:ascii="Times New Roman" w:eastAsia="Times New Roman" w:hAnsi="Times New Roman" w:cs="Times New Roman"/>
          <w:sz w:val="24"/>
          <w:szCs w:val="24"/>
        </w:rPr>
        <w:t>While Couch certainly used his position in the FWP to create the space for the Southern Life History Project, the unique writing genre of a life histor</w:t>
      </w:r>
      <w:r>
        <w:rPr>
          <w:rFonts w:ascii="Times New Roman" w:eastAsia="Times New Roman" w:hAnsi="Times New Roman" w:cs="Times New Roman"/>
          <w:sz w:val="24"/>
          <w:szCs w:val="24"/>
        </w:rPr>
        <w:t xml:space="preserve">y </w:t>
      </w:r>
      <w:r>
        <w:rPr>
          <w:rFonts w:ascii="Times New Roman" w:eastAsia="Times New Roman" w:hAnsi="Times New Roman" w:cs="Times New Roman"/>
          <w:sz w:val="24"/>
          <w:szCs w:val="24"/>
        </w:rPr>
        <w:t xml:space="preserve">was </w:t>
      </w:r>
      <w:proofErr w:type="gramStart"/>
      <w:r>
        <w:rPr>
          <w:rFonts w:ascii="Times New Roman" w:eastAsia="Times New Roman" w:hAnsi="Times New Roman" w:cs="Times New Roman"/>
          <w:sz w:val="24"/>
          <w:szCs w:val="24"/>
        </w:rPr>
        <w:t>in reality a</w:t>
      </w:r>
      <w:proofErr w:type="gramEnd"/>
      <w:r>
        <w:rPr>
          <w:rFonts w:ascii="Times New Roman" w:eastAsia="Times New Roman" w:hAnsi="Times New Roman" w:cs="Times New Roman"/>
          <w:sz w:val="24"/>
          <w:szCs w:val="24"/>
        </w:rPr>
        <w:t xml:space="preserve"> result of a complicated ecosystem in which White women writers, such as Harris, played a central role. </w:t>
      </w:r>
    </w:p>
    <w:p w14:paraId="01AC417B" w14:textId="77777777" w:rsidR="00522B61"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my presentation today, I argue that the role of these White women writers a</w:t>
      </w:r>
      <w:r>
        <w:rPr>
          <w:rFonts w:ascii="Times New Roman" w:eastAsia="Times New Roman" w:hAnsi="Times New Roman" w:cs="Times New Roman"/>
          <w:sz w:val="24"/>
          <w:szCs w:val="24"/>
        </w:rPr>
        <w:t>nd their impact on the emergence of the life history genre in the SLHP was only made visible by a femin</w:t>
      </w:r>
      <w:r>
        <w:rPr>
          <w:rFonts w:ascii="Times New Roman" w:eastAsia="Times New Roman" w:hAnsi="Times New Roman" w:cs="Times New Roman"/>
          <w:sz w:val="24"/>
          <w:szCs w:val="24"/>
        </w:rPr>
        <w:t>ist rhetorical historiography that blends traditional close readings of archival material with distant reading methods often associated with digital hu</w:t>
      </w:r>
      <w:r>
        <w:rPr>
          <w:rFonts w:ascii="Times New Roman" w:eastAsia="Times New Roman" w:hAnsi="Times New Roman" w:cs="Times New Roman"/>
          <w:sz w:val="24"/>
          <w:szCs w:val="24"/>
        </w:rPr>
        <w:t xml:space="preserve">manities. This presentation is part of my larger digital book project, Layered Lives: Race and Representation in the Southern Life History Project, </w:t>
      </w:r>
      <w:r>
        <w:rPr>
          <w:rFonts w:ascii="Times New Roman" w:eastAsia="Times New Roman" w:hAnsi="Times New Roman" w:cs="Times New Roman"/>
          <w:sz w:val="24"/>
          <w:szCs w:val="24"/>
        </w:rPr>
        <w:lastRenderedPageBreak/>
        <w:t>written together with Lauren Tilton and Taylor Arnold of the University of Richmond, which will be published</w:t>
      </w:r>
      <w:r>
        <w:rPr>
          <w:rFonts w:ascii="Times New Roman" w:eastAsia="Times New Roman" w:hAnsi="Times New Roman" w:cs="Times New Roman"/>
          <w:sz w:val="24"/>
          <w:szCs w:val="24"/>
        </w:rPr>
        <w:t xml:space="preserve"> by Stanford Press later this year. Extending the work of scholars such as Jessica Enoch, Pamela </w:t>
      </w:r>
      <w:proofErr w:type="spellStart"/>
      <w:r>
        <w:rPr>
          <w:rFonts w:ascii="Times New Roman" w:eastAsia="Times New Roman" w:hAnsi="Times New Roman" w:cs="Times New Roman"/>
          <w:sz w:val="24"/>
          <w:szCs w:val="24"/>
        </w:rPr>
        <w:t>VanHaitsma</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Tarez</w:t>
      </w:r>
      <w:proofErr w:type="spellEnd"/>
      <w:r>
        <w:rPr>
          <w:rFonts w:ascii="Times New Roman" w:eastAsia="Times New Roman" w:hAnsi="Times New Roman" w:cs="Times New Roman"/>
          <w:sz w:val="24"/>
          <w:szCs w:val="24"/>
        </w:rPr>
        <w:t xml:space="preserve"> Samra </w:t>
      </w:r>
      <w:proofErr w:type="spellStart"/>
      <w:r>
        <w:rPr>
          <w:rFonts w:ascii="Times New Roman" w:eastAsia="Times New Roman" w:hAnsi="Times New Roman" w:cs="Times New Roman"/>
          <w:sz w:val="24"/>
          <w:szCs w:val="24"/>
        </w:rPr>
        <w:t>Graban</w:t>
      </w:r>
      <w:proofErr w:type="spellEnd"/>
      <w:r>
        <w:rPr>
          <w:rFonts w:ascii="Times New Roman" w:eastAsia="Times New Roman" w:hAnsi="Times New Roman" w:cs="Times New Roman"/>
          <w:sz w:val="24"/>
          <w:szCs w:val="24"/>
        </w:rPr>
        <w:t>, I demonstrate how this process of moving between distant and close readings of archives can open</w:t>
      </w:r>
      <w:r>
        <w:rPr>
          <w:rFonts w:ascii="Times New Roman" w:eastAsia="Times New Roman" w:hAnsi="Times New Roman" w:cs="Times New Roman"/>
          <w:sz w:val="24"/>
          <w:szCs w:val="24"/>
        </w:rPr>
        <w:t xml:space="preserve"> new possibilities for m</w:t>
      </w:r>
      <w:r>
        <w:rPr>
          <w:rFonts w:ascii="Times New Roman" w:eastAsia="Times New Roman" w:hAnsi="Times New Roman" w:cs="Times New Roman"/>
          <w:sz w:val="24"/>
          <w:szCs w:val="24"/>
        </w:rPr>
        <w:t xml:space="preserve">aking visible the work of writers who are often not given significant space in archives. </w:t>
      </w:r>
    </w:p>
    <w:p w14:paraId="00000009" w14:textId="4858B5E8" w:rsidR="000B24FA"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make this argument, I will begin by </w:t>
      </w:r>
      <w:r>
        <w:rPr>
          <w:rFonts w:ascii="Times New Roman" w:eastAsia="Times New Roman" w:hAnsi="Times New Roman" w:cs="Times New Roman"/>
          <w:sz w:val="24"/>
          <w:szCs w:val="24"/>
        </w:rPr>
        <w:t>situating the Southern Life History Collection within the</w:t>
      </w:r>
      <w:r>
        <w:rPr>
          <w:rFonts w:ascii="Times New Roman" w:eastAsia="Times New Roman" w:hAnsi="Times New Roman" w:cs="Times New Roman"/>
          <w:sz w:val="24"/>
          <w:szCs w:val="24"/>
        </w:rPr>
        <w:t xml:space="preserve"> ecosystem of the FWP and then illustrate the role that Whit</w:t>
      </w:r>
      <w:r>
        <w:rPr>
          <w:rFonts w:ascii="Times New Roman" w:eastAsia="Times New Roman" w:hAnsi="Times New Roman" w:cs="Times New Roman"/>
          <w:sz w:val="24"/>
          <w:szCs w:val="24"/>
        </w:rPr>
        <w:t xml:space="preserve">e women played in the project by using a combination of close and distant readings of the archive. I will then conclude with suggestions about how digital methods can enrich feminist historiographic work. </w:t>
      </w:r>
    </w:p>
    <w:p w14:paraId="560A430B" w14:textId="26D9968B" w:rsidR="00522B61" w:rsidRDefault="00396D63" w:rsidP="000B5236">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Federal Writers’ Project (FWP) first emerged i</w:t>
      </w:r>
      <w:r>
        <w:rPr>
          <w:rFonts w:ascii="Times New Roman" w:eastAsia="Times New Roman" w:hAnsi="Times New Roman" w:cs="Times New Roman"/>
          <w:sz w:val="24"/>
          <w:szCs w:val="24"/>
        </w:rPr>
        <w:t>n 1935</w:t>
      </w:r>
      <w:r w:rsidR="00D92AC0">
        <w:rPr>
          <w:rFonts w:ascii="Times New Roman" w:eastAsia="Times New Roman" w:hAnsi="Times New Roman" w:cs="Times New Roman"/>
          <w:sz w:val="24"/>
          <w:szCs w:val="24"/>
        </w:rPr>
        <w:t xml:space="preserve"> with the original goal of creating an </w:t>
      </w:r>
      <w:r>
        <w:rPr>
          <w:rFonts w:ascii="Times New Roman" w:eastAsia="Times New Roman" w:hAnsi="Times New Roman" w:cs="Times New Roman"/>
          <w:sz w:val="24"/>
          <w:szCs w:val="24"/>
        </w:rPr>
        <w:t>American Guide Series. Premised on the mobility provided by newly affordable automobiles</w:t>
      </w:r>
      <w:r>
        <w:rPr>
          <w:rFonts w:ascii="Times New Roman" w:eastAsia="Times New Roman" w:hAnsi="Times New Roman" w:cs="Times New Roman"/>
          <w:sz w:val="24"/>
          <w:szCs w:val="24"/>
        </w:rPr>
        <w:t xml:space="preserve">, FWP administrators reasoned that carefully researched and written guides could inspire Americans to </w:t>
      </w:r>
      <w:r>
        <w:rPr>
          <w:rFonts w:ascii="Times New Roman" w:eastAsia="Times New Roman" w:hAnsi="Times New Roman" w:cs="Times New Roman"/>
          <w:sz w:val="24"/>
          <w:szCs w:val="24"/>
        </w:rPr>
        <w:t xml:space="preserve">“See America” </w:t>
      </w:r>
      <w:r w:rsidR="001C0563">
        <w:rPr>
          <w:rFonts w:ascii="Times New Roman" w:eastAsia="Times New Roman" w:hAnsi="Times New Roman" w:cs="Times New Roman"/>
          <w:sz w:val="24"/>
          <w:szCs w:val="24"/>
        </w:rPr>
        <w:t xml:space="preserve">in new ways and celebrate </w:t>
      </w:r>
      <w:r>
        <w:rPr>
          <w:rFonts w:ascii="Times New Roman" w:eastAsia="Times New Roman" w:hAnsi="Times New Roman" w:cs="Times New Roman"/>
          <w:sz w:val="24"/>
          <w:szCs w:val="24"/>
        </w:rPr>
        <w:t>state and regional diffe</w:t>
      </w:r>
      <w:r>
        <w:rPr>
          <w:rFonts w:ascii="Times New Roman" w:eastAsia="Times New Roman" w:hAnsi="Times New Roman" w:cs="Times New Roman"/>
          <w:sz w:val="24"/>
          <w:szCs w:val="24"/>
        </w:rPr>
        <w:t>rences</w:t>
      </w:r>
      <w:r w:rsidR="001C0563">
        <w:rPr>
          <w:rFonts w:ascii="Times New Roman" w:eastAsia="Times New Roman" w:hAnsi="Times New Roman" w:cs="Times New Roman"/>
          <w:sz w:val="24"/>
          <w:szCs w:val="24"/>
        </w:rPr>
        <w:t xml:space="preserve"> by po</w:t>
      </w:r>
      <w:r w:rsidR="00522B61">
        <w:rPr>
          <w:rFonts w:ascii="Times New Roman" w:eastAsia="Times New Roman" w:hAnsi="Times New Roman" w:cs="Times New Roman"/>
          <w:sz w:val="24"/>
          <w:szCs w:val="24"/>
        </w:rPr>
        <w:t>sitioning</w:t>
      </w:r>
      <w:r w:rsidR="001C0563">
        <w:rPr>
          <w:rFonts w:ascii="Times New Roman" w:eastAsia="Times New Roman" w:hAnsi="Times New Roman" w:cs="Times New Roman"/>
          <w:sz w:val="24"/>
          <w:szCs w:val="24"/>
        </w:rPr>
        <w:t xml:space="preserve"> them as national strengths.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To produce these Guidebooks, the FWP created </w:t>
      </w:r>
      <w:r w:rsidR="00522B61">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tiered system offices including national headquarters in Washington, D.C., state headquarters for each state, and numerous local locations throughout each state. </w:t>
      </w:r>
      <w:r w:rsidR="00D430F3">
        <w:rPr>
          <w:rFonts w:ascii="Times New Roman" w:eastAsia="Times New Roman" w:hAnsi="Times New Roman" w:cs="Times New Roman"/>
          <w:sz w:val="24"/>
          <w:szCs w:val="24"/>
        </w:rPr>
        <w:t>While the creation of this large and complex system had many difficulties at all levels, b</w:t>
      </w:r>
      <w:r w:rsidR="006D54E1">
        <w:rPr>
          <w:rFonts w:ascii="Times New Roman" w:eastAsia="Times New Roman" w:hAnsi="Times New Roman" w:cs="Times New Roman"/>
          <w:sz w:val="24"/>
          <w:szCs w:val="24"/>
        </w:rPr>
        <w:t>y</w:t>
      </w:r>
      <w:r w:rsidR="00D430F3">
        <w:rPr>
          <w:rFonts w:ascii="Times New Roman" w:eastAsia="Times New Roman" w:hAnsi="Times New Roman" w:cs="Times New Roman"/>
          <w:sz w:val="24"/>
          <w:szCs w:val="24"/>
        </w:rPr>
        <w:t xml:space="preserve"> 1937 many of the guidebooks were completed and regional offices were looking towards other documentary projects.  </w:t>
      </w:r>
    </w:p>
    <w:p w14:paraId="09A23861" w14:textId="77777777" w:rsidR="00522B61" w:rsidRDefault="006D54E1" w:rsidP="00D92AC0">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00D430F3">
        <w:rPr>
          <w:rFonts w:ascii="Times New Roman" w:eastAsia="Times New Roman" w:hAnsi="Times New Roman" w:cs="Times New Roman"/>
          <w:sz w:val="24"/>
          <w:szCs w:val="24"/>
        </w:rPr>
        <w:t xml:space="preserve">t was at this point that Couch joined the North Carolina project and then became </w:t>
      </w:r>
      <w:r w:rsidR="00396D63">
        <w:rPr>
          <w:rFonts w:ascii="Times New Roman" w:eastAsia="Times New Roman" w:hAnsi="Times New Roman" w:cs="Times New Roman"/>
          <w:sz w:val="24"/>
          <w:szCs w:val="24"/>
        </w:rPr>
        <w:t>Regi</w:t>
      </w:r>
      <w:r w:rsidR="00396D63">
        <w:rPr>
          <w:rFonts w:ascii="Times New Roman" w:eastAsia="Times New Roman" w:hAnsi="Times New Roman" w:cs="Times New Roman"/>
          <w:sz w:val="24"/>
          <w:szCs w:val="24"/>
        </w:rPr>
        <w:t>onal Director of the entire Southeast in 1938</w:t>
      </w:r>
      <w:r w:rsidR="00396D63">
        <w:rPr>
          <w:rFonts w:ascii="Times New Roman" w:eastAsia="Times New Roman" w:hAnsi="Times New Roman" w:cs="Times New Roman"/>
          <w:sz w:val="24"/>
          <w:szCs w:val="24"/>
        </w:rPr>
        <w:t xml:space="preserve">. </w:t>
      </w:r>
      <w:r w:rsidR="00D92AC0">
        <w:rPr>
          <w:rFonts w:ascii="Times New Roman" w:eastAsia="Times New Roman" w:hAnsi="Times New Roman" w:cs="Times New Roman"/>
          <w:sz w:val="24"/>
          <w:szCs w:val="24"/>
        </w:rPr>
        <w:t xml:space="preserve">Amid </w:t>
      </w:r>
      <w:r w:rsidR="00522B61">
        <w:rPr>
          <w:rFonts w:ascii="Times New Roman" w:eastAsia="Times New Roman" w:hAnsi="Times New Roman" w:cs="Times New Roman"/>
          <w:sz w:val="24"/>
          <w:szCs w:val="24"/>
        </w:rPr>
        <w:t>several</w:t>
      </w:r>
      <w:r w:rsidR="00D92AC0">
        <w:rPr>
          <w:rFonts w:ascii="Times New Roman" w:eastAsia="Times New Roman" w:hAnsi="Times New Roman" w:cs="Times New Roman"/>
          <w:sz w:val="24"/>
          <w:szCs w:val="24"/>
        </w:rPr>
        <w:t xml:space="preserve"> other documentary projects including the Folklore Project, the Social-Ethnic Project, and the Ex-slave Narrative Project, </w:t>
      </w:r>
      <w:r w:rsidR="00396D63">
        <w:rPr>
          <w:rFonts w:ascii="Times New Roman" w:eastAsia="Times New Roman" w:hAnsi="Times New Roman" w:cs="Times New Roman"/>
          <w:sz w:val="24"/>
          <w:szCs w:val="24"/>
        </w:rPr>
        <w:t xml:space="preserve">Couch </w:t>
      </w:r>
      <w:r w:rsidR="00D143CF">
        <w:rPr>
          <w:rFonts w:ascii="Times New Roman" w:eastAsia="Times New Roman" w:hAnsi="Times New Roman" w:cs="Times New Roman"/>
          <w:sz w:val="24"/>
          <w:szCs w:val="24"/>
        </w:rPr>
        <w:t xml:space="preserve">successfully </w:t>
      </w:r>
      <w:r w:rsidR="00396D63">
        <w:rPr>
          <w:rFonts w:ascii="Times New Roman" w:eastAsia="Times New Roman" w:hAnsi="Times New Roman" w:cs="Times New Roman"/>
          <w:sz w:val="24"/>
          <w:szCs w:val="24"/>
        </w:rPr>
        <w:t xml:space="preserve">lobbied </w:t>
      </w:r>
      <w:r w:rsidR="00D143CF">
        <w:rPr>
          <w:rFonts w:ascii="Times New Roman" w:eastAsia="Times New Roman" w:hAnsi="Times New Roman" w:cs="Times New Roman"/>
          <w:sz w:val="24"/>
          <w:szCs w:val="24"/>
        </w:rPr>
        <w:t>for</w:t>
      </w:r>
      <w:r w:rsidR="00396D63">
        <w:rPr>
          <w:rFonts w:ascii="Times New Roman" w:eastAsia="Times New Roman" w:hAnsi="Times New Roman" w:cs="Times New Roman"/>
          <w:sz w:val="24"/>
          <w:szCs w:val="24"/>
        </w:rPr>
        <w:t xml:space="preserve"> </w:t>
      </w:r>
      <w:r w:rsidR="00396D63">
        <w:rPr>
          <w:rFonts w:ascii="Times New Roman" w:eastAsia="Times New Roman" w:hAnsi="Times New Roman" w:cs="Times New Roman"/>
          <w:sz w:val="24"/>
          <w:szCs w:val="24"/>
        </w:rPr>
        <w:t xml:space="preserve">the </w:t>
      </w:r>
      <w:r w:rsidR="00D143CF">
        <w:rPr>
          <w:rFonts w:ascii="Times New Roman" w:eastAsia="Times New Roman" w:hAnsi="Times New Roman" w:cs="Times New Roman"/>
          <w:sz w:val="24"/>
          <w:szCs w:val="24"/>
        </w:rPr>
        <w:t xml:space="preserve">addition of the </w:t>
      </w:r>
      <w:r w:rsidR="00396D63">
        <w:rPr>
          <w:rFonts w:ascii="Times New Roman" w:eastAsia="Times New Roman" w:hAnsi="Times New Roman" w:cs="Times New Roman"/>
          <w:sz w:val="24"/>
          <w:szCs w:val="24"/>
        </w:rPr>
        <w:t>Southern Life Histories Project</w:t>
      </w:r>
      <w:r w:rsidR="00396D63">
        <w:rPr>
          <w:rFonts w:ascii="Times New Roman" w:eastAsia="Times New Roman" w:hAnsi="Times New Roman" w:cs="Times New Roman"/>
          <w:sz w:val="24"/>
          <w:szCs w:val="24"/>
        </w:rPr>
        <w:t xml:space="preserve">. </w:t>
      </w:r>
      <w:r w:rsidR="00522B61">
        <w:rPr>
          <w:rFonts w:ascii="Times New Roman" w:eastAsia="Times New Roman" w:hAnsi="Times New Roman" w:cs="Times New Roman"/>
          <w:sz w:val="24"/>
          <w:szCs w:val="24"/>
        </w:rPr>
        <w:t>He</w:t>
      </w:r>
      <w:r w:rsidR="00396D63">
        <w:rPr>
          <w:rFonts w:ascii="Times New Roman" w:eastAsia="Times New Roman" w:hAnsi="Times New Roman" w:cs="Times New Roman"/>
          <w:sz w:val="24"/>
          <w:szCs w:val="24"/>
        </w:rPr>
        <w:t xml:space="preserve"> </w:t>
      </w:r>
      <w:r w:rsidR="00396D63">
        <w:rPr>
          <w:rFonts w:ascii="Times New Roman" w:eastAsia="Times New Roman" w:hAnsi="Times New Roman" w:cs="Times New Roman"/>
          <w:sz w:val="24"/>
          <w:szCs w:val="24"/>
        </w:rPr>
        <w:t xml:space="preserve">was troubled over how existing representations </w:t>
      </w:r>
      <w:r w:rsidR="00396D63">
        <w:rPr>
          <w:rFonts w:ascii="Times New Roman" w:eastAsia="Times New Roman" w:hAnsi="Times New Roman" w:cs="Times New Roman"/>
          <w:sz w:val="24"/>
          <w:szCs w:val="24"/>
        </w:rPr>
        <w:t xml:space="preserve">through literature and sociology </w:t>
      </w:r>
      <w:r w:rsidR="00396D63">
        <w:rPr>
          <w:rFonts w:ascii="Times New Roman" w:eastAsia="Times New Roman" w:hAnsi="Times New Roman" w:cs="Times New Roman"/>
          <w:sz w:val="24"/>
          <w:szCs w:val="24"/>
        </w:rPr>
        <w:t>depicted the South as antiquated, d</w:t>
      </w:r>
      <w:r w:rsidR="00396D63">
        <w:rPr>
          <w:rFonts w:ascii="Times New Roman" w:eastAsia="Times New Roman" w:hAnsi="Times New Roman" w:cs="Times New Roman"/>
          <w:sz w:val="24"/>
          <w:szCs w:val="24"/>
        </w:rPr>
        <w:t xml:space="preserve">epraved, and </w:t>
      </w:r>
      <w:r w:rsidR="00396D63">
        <w:rPr>
          <w:rFonts w:ascii="Times New Roman" w:eastAsia="Times New Roman" w:hAnsi="Times New Roman" w:cs="Times New Roman"/>
          <w:sz w:val="24"/>
          <w:szCs w:val="24"/>
        </w:rPr>
        <w:lastRenderedPageBreak/>
        <w:t xml:space="preserve">languid through broad </w:t>
      </w:r>
      <w:r w:rsidR="0084353F">
        <w:rPr>
          <w:rFonts w:ascii="Times New Roman" w:eastAsia="Times New Roman" w:hAnsi="Times New Roman" w:cs="Times New Roman"/>
          <w:sz w:val="24"/>
          <w:szCs w:val="24"/>
        </w:rPr>
        <w:t>caricatures</w:t>
      </w:r>
      <w:r w:rsidR="00396D63">
        <w:rPr>
          <w:rFonts w:ascii="Times New Roman" w:eastAsia="Times New Roman" w:hAnsi="Times New Roman" w:cs="Times New Roman"/>
          <w:sz w:val="24"/>
          <w:szCs w:val="24"/>
        </w:rPr>
        <w:t xml:space="preserve"> or abstract statistics. Such representations led the South to be positioned as a major reason that the US could not move out of the Great Depression. </w:t>
      </w:r>
    </w:p>
    <w:p w14:paraId="00000011" w14:textId="26C13038" w:rsidR="000B24FA" w:rsidRDefault="00396D63" w:rsidP="00522B61">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Couch reasoned, that if Southerners were “allowed to spea</w:t>
      </w:r>
      <w:r>
        <w:rPr>
          <w:rFonts w:ascii="Times New Roman" w:eastAsia="Times New Roman" w:hAnsi="Times New Roman" w:cs="Times New Roman"/>
          <w:sz w:val="24"/>
          <w:szCs w:val="24"/>
        </w:rPr>
        <w:t>k, in their essential character,”</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they would give a more accurate and authentic vision of the South that would elucidate problems and help to usher in social change. </w:t>
      </w:r>
      <w:r>
        <w:rPr>
          <w:rFonts w:ascii="Times New Roman" w:eastAsia="Times New Roman" w:hAnsi="Times New Roman" w:cs="Times New Roman"/>
          <w:sz w:val="24"/>
          <w:szCs w:val="24"/>
        </w:rPr>
        <w:t xml:space="preserve">To </w:t>
      </w:r>
      <w:r w:rsidR="00522B61">
        <w:rPr>
          <w:rFonts w:ascii="Times New Roman" w:eastAsia="Times New Roman" w:hAnsi="Times New Roman" w:cs="Times New Roman"/>
          <w:sz w:val="24"/>
          <w:szCs w:val="24"/>
        </w:rPr>
        <w:t xml:space="preserve">do this, </w:t>
      </w:r>
      <w:r>
        <w:rPr>
          <w:rFonts w:ascii="Times New Roman" w:eastAsia="Times New Roman" w:hAnsi="Times New Roman" w:cs="Times New Roman"/>
          <w:sz w:val="24"/>
          <w:szCs w:val="24"/>
        </w:rPr>
        <w:t>he proposed the creat</w:t>
      </w:r>
      <w:r>
        <w:rPr>
          <w:rFonts w:ascii="Times New Roman" w:eastAsia="Times New Roman" w:hAnsi="Times New Roman" w:cs="Times New Roman"/>
          <w:sz w:val="24"/>
          <w:szCs w:val="24"/>
        </w:rPr>
        <w:t>ion of ‘life histories’ that would be written by workers in the FWP</w:t>
      </w:r>
      <w:r>
        <w:rPr>
          <w:rFonts w:ascii="Times New Roman" w:eastAsia="Times New Roman" w:hAnsi="Times New Roman" w:cs="Times New Roman"/>
          <w:sz w:val="24"/>
          <w:szCs w:val="24"/>
        </w:rPr>
        <w:t>.</w:t>
      </w:r>
      <w:r w:rsidR="0084353F">
        <w:rPr>
          <w:rFonts w:ascii="Times New Roman" w:eastAsia="Times New Roman" w:hAnsi="Times New Roman" w:cs="Times New Roman"/>
          <w:sz w:val="24"/>
          <w:szCs w:val="24"/>
        </w:rPr>
        <w:t xml:space="preserve"> </w:t>
      </w:r>
      <w:r w:rsidR="00522B61">
        <w:rPr>
          <w:rFonts w:ascii="Times New Roman" w:eastAsia="Times New Roman" w:hAnsi="Times New Roman" w:cs="Times New Roman"/>
          <w:sz w:val="24"/>
          <w:szCs w:val="24"/>
        </w:rPr>
        <w:t>Such</w:t>
      </w:r>
      <w:r w:rsidR="0084353F">
        <w:rPr>
          <w:rFonts w:ascii="Times New Roman" w:eastAsia="Times New Roman" w:hAnsi="Times New Roman" w:cs="Times New Roman"/>
          <w:sz w:val="24"/>
          <w:szCs w:val="24"/>
        </w:rPr>
        <w:t xml:space="preserve"> an idea was novel as oral history methods had not yet been developed.</w:t>
      </w:r>
      <w:r w:rsidR="00522B6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the rest of the presentation will make clear, Couch did n</w:t>
      </w:r>
      <w:r>
        <w:rPr>
          <w:rFonts w:ascii="Times New Roman" w:eastAsia="Times New Roman" w:hAnsi="Times New Roman" w:cs="Times New Roman"/>
          <w:sz w:val="24"/>
          <w:szCs w:val="24"/>
        </w:rPr>
        <w:t xml:space="preserve">ot have a </w:t>
      </w:r>
      <w:r>
        <w:rPr>
          <w:rFonts w:ascii="Times New Roman" w:eastAsia="Times New Roman" w:hAnsi="Times New Roman" w:cs="Times New Roman"/>
          <w:sz w:val="24"/>
          <w:szCs w:val="24"/>
        </w:rPr>
        <w:t xml:space="preserve">clear vision </w:t>
      </w:r>
      <w:r>
        <w:rPr>
          <w:rFonts w:ascii="Times New Roman" w:eastAsia="Times New Roman" w:hAnsi="Times New Roman" w:cs="Times New Roman"/>
          <w:sz w:val="24"/>
          <w:szCs w:val="24"/>
        </w:rPr>
        <w:t>of the contours of a life history</w:t>
      </w:r>
      <w:r w:rsidR="00D143CF">
        <w:rPr>
          <w:rFonts w:ascii="Times New Roman" w:eastAsia="Times New Roman" w:hAnsi="Times New Roman" w:cs="Times New Roman"/>
          <w:sz w:val="24"/>
          <w:szCs w:val="24"/>
        </w:rPr>
        <w:t xml:space="preserve">, but rather </w:t>
      </w:r>
      <w:r w:rsidR="006D54E1">
        <w:rPr>
          <w:rFonts w:ascii="Times New Roman" w:eastAsia="Times New Roman" w:hAnsi="Times New Roman" w:cs="Times New Roman"/>
          <w:sz w:val="24"/>
          <w:szCs w:val="24"/>
        </w:rPr>
        <w:t xml:space="preserve">came to rely on writers negotiating the </w:t>
      </w:r>
      <w:r w:rsidR="00522B61">
        <w:rPr>
          <w:rFonts w:ascii="Times New Roman" w:eastAsia="Times New Roman" w:hAnsi="Times New Roman" w:cs="Times New Roman"/>
          <w:sz w:val="24"/>
          <w:szCs w:val="24"/>
        </w:rPr>
        <w:t xml:space="preserve">spaces of the interview </w:t>
      </w:r>
      <w:r w:rsidR="006D54E1">
        <w:rPr>
          <w:rFonts w:ascii="Times New Roman" w:eastAsia="Times New Roman" w:hAnsi="Times New Roman" w:cs="Times New Roman"/>
          <w:sz w:val="24"/>
          <w:szCs w:val="24"/>
        </w:rPr>
        <w:t>to flesh out this new genre</w:t>
      </w:r>
      <w:r w:rsidR="00833455">
        <w:rPr>
          <w:rFonts w:ascii="Times New Roman" w:eastAsia="Times New Roman" w:hAnsi="Times New Roman" w:cs="Times New Roman"/>
          <w:sz w:val="24"/>
          <w:szCs w:val="24"/>
        </w:rPr>
        <w:t xml:space="preserve">, a process in which White women played a central role. </w:t>
      </w:r>
    </w:p>
    <w:p w14:paraId="27F74031" w14:textId="04712CF0" w:rsidR="006F31C5" w:rsidRDefault="00833455" w:rsidP="000B5236">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make this next argument about the role of White women in the development of the genre of the life history, I want to show you the affordance of a distant reading of this archive.</w:t>
      </w:r>
      <w:r w:rsidR="00C7443D">
        <w:rPr>
          <w:rFonts w:ascii="Times New Roman" w:eastAsia="Times New Roman" w:hAnsi="Times New Roman" w:cs="Times New Roman"/>
          <w:sz w:val="24"/>
          <w:szCs w:val="24"/>
        </w:rPr>
        <w:t xml:space="preserve"> </w:t>
      </w:r>
      <w:r w:rsidR="00C7443D">
        <w:rPr>
          <w:rFonts w:ascii="Times New Roman" w:eastAsia="Times New Roman" w:hAnsi="Times New Roman" w:cs="Times New Roman"/>
          <w:sz w:val="24"/>
          <w:szCs w:val="24"/>
        </w:rPr>
        <w:t xml:space="preserve">Working with my collaborators, we created metadata for each of the 1200 life histories in the collection. This metadata included: the race, gender, occupation of the interviewee, the race and gender of the writer, the location and date of the interview. </w:t>
      </w:r>
    </w:p>
    <w:p w14:paraId="2BA670EF" w14:textId="608AAAC6" w:rsidR="000E7139" w:rsidRDefault="00C7443D" w:rsidP="000E7139">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began our analysis by examining the trends revealed in this data.</w:t>
      </w:r>
      <w:r w:rsidR="009A14DF">
        <w:rPr>
          <w:rFonts w:ascii="Times New Roman" w:eastAsia="Times New Roman" w:hAnsi="Times New Roman" w:cs="Times New Roman"/>
          <w:sz w:val="24"/>
          <w:szCs w:val="24"/>
        </w:rPr>
        <w:t xml:space="preserve"> We see that almost all the life histories were written by White writers. There were only 7 black writers, who wrote 52 life histories – only 4% of the total collection. Of these White writers, more than half were women</w:t>
      </w:r>
      <w:r w:rsidR="000E7139">
        <w:rPr>
          <w:rFonts w:ascii="Times New Roman" w:eastAsia="Times New Roman" w:hAnsi="Times New Roman" w:cs="Times New Roman"/>
          <w:sz w:val="24"/>
          <w:szCs w:val="24"/>
        </w:rPr>
        <w:t xml:space="preserve">, and they </w:t>
      </w:r>
      <w:r w:rsidR="00396D63">
        <w:rPr>
          <w:rFonts w:ascii="Times New Roman" w:eastAsia="Times New Roman" w:hAnsi="Times New Roman" w:cs="Times New Roman"/>
          <w:sz w:val="24"/>
          <w:szCs w:val="24"/>
        </w:rPr>
        <w:t>produced over 60 percent of the recorded life histories. A large portion of the interviews was written by a small number of writers. T</w:t>
      </w:r>
      <w:r w:rsidR="00396D63">
        <w:rPr>
          <w:rFonts w:ascii="Times New Roman" w:eastAsia="Times New Roman" w:hAnsi="Times New Roman" w:cs="Times New Roman"/>
          <w:sz w:val="24"/>
          <w:szCs w:val="24"/>
        </w:rPr>
        <w:t>here were 30 writers who wrote ten or more life histories. Together, those 30 writers wrote 677 life histories, slightly over half of the collection. Within this group of the most prolific writers, 11 were men, among which only one identified as Black (Rob</w:t>
      </w:r>
      <w:r w:rsidR="00396D63">
        <w:rPr>
          <w:rFonts w:ascii="Times New Roman" w:eastAsia="Times New Roman" w:hAnsi="Times New Roman" w:cs="Times New Roman"/>
          <w:sz w:val="24"/>
          <w:szCs w:val="24"/>
        </w:rPr>
        <w:t xml:space="preserve">ert McKinney), and 19 were White women. These 19 women wrote nearly 40 percent </w:t>
      </w:r>
      <w:r w:rsidR="00396D63">
        <w:rPr>
          <w:rFonts w:ascii="Times New Roman" w:eastAsia="Times New Roman" w:hAnsi="Times New Roman" w:cs="Times New Roman"/>
          <w:sz w:val="24"/>
          <w:szCs w:val="24"/>
        </w:rPr>
        <w:lastRenderedPageBreak/>
        <w:t xml:space="preserve">of the life histories. </w:t>
      </w:r>
      <w:proofErr w:type="gramStart"/>
      <w:r w:rsidR="000E7139">
        <w:rPr>
          <w:rFonts w:ascii="Times New Roman" w:eastAsia="Times New Roman" w:hAnsi="Times New Roman" w:cs="Times New Roman"/>
          <w:sz w:val="24"/>
          <w:szCs w:val="24"/>
        </w:rPr>
        <w:t>So</w:t>
      </w:r>
      <w:proofErr w:type="gramEnd"/>
      <w:r w:rsidR="000E7139">
        <w:rPr>
          <w:rFonts w:ascii="Times New Roman" w:eastAsia="Times New Roman" w:hAnsi="Times New Roman" w:cs="Times New Roman"/>
          <w:sz w:val="24"/>
          <w:szCs w:val="24"/>
        </w:rPr>
        <w:t xml:space="preserve"> from this data many questions emerge? Why were there so few Black writers? Why did White women become the most prolific writers in the SLHP, especially when </w:t>
      </w:r>
      <w:r w:rsidR="00396D63">
        <w:rPr>
          <w:rFonts w:ascii="Times New Roman" w:eastAsia="Times New Roman" w:hAnsi="Times New Roman" w:cs="Times New Roman"/>
          <w:sz w:val="24"/>
          <w:szCs w:val="24"/>
        </w:rPr>
        <w:t>women were just beginning to make inroads</w:t>
      </w:r>
      <w:r w:rsidR="00396D63">
        <w:rPr>
          <w:rFonts w:ascii="Times New Roman" w:eastAsia="Times New Roman" w:hAnsi="Times New Roman" w:cs="Times New Roman"/>
          <w:sz w:val="24"/>
          <w:szCs w:val="24"/>
        </w:rPr>
        <w:t xml:space="preserve"> into the public sphere? </w:t>
      </w:r>
    </w:p>
    <w:p w14:paraId="7C4F1485" w14:textId="2A849424" w:rsidR="002077B2" w:rsidRPr="003D449E" w:rsidRDefault="000E7139" w:rsidP="000B5236">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answer these questions, </w:t>
      </w:r>
      <w:r w:rsidRPr="000E7139">
        <w:rPr>
          <w:rFonts w:ascii="Times New Roman" w:eastAsia="Times New Roman" w:hAnsi="Times New Roman" w:cs="Times New Roman"/>
          <w:sz w:val="24"/>
          <w:szCs w:val="24"/>
          <w:lang w:val="en-US"/>
        </w:rPr>
        <w:t>I draw on the theory of rhetorical ecology to demonstrate the systems involved in the production of the genre of life histories. Moving beyond a singular focus on the rhetor, the audience, or the text, rhetorical ecology attends to the ways in which rhetoric results from what Marilyn Cooper describes as the “dynamic interlocking systems which structure the social activity of writing”</w:t>
      </w:r>
      <w:r>
        <w:rPr>
          <w:rFonts w:ascii="Times New Roman" w:eastAsia="Times New Roman" w:hAnsi="Times New Roman" w:cs="Times New Roman"/>
          <w:sz w:val="24"/>
          <w:szCs w:val="24"/>
          <w:lang w:val="en-US"/>
        </w:rPr>
        <w:t xml:space="preserve"> (</w:t>
      </w:r>
      <w:r w:rsidR="00F77B44">
        <w:rPr>
          <w:rFonts w:ascii="Times New Roman" w:eastAsia="Times New Roman" w:hAnsi="Times New Roman" w:cs="Times New Roman"/>
          <w:sz w:val="24"/>
          <w:szCs w:val="24"/>
          <w:lang w:val="en-US"/>
        </w:rPr>
        <w:t>368)</w:t>
      </w:r>
      <w:r w:rsidRPr="000E7139">
        <w:rPr>
          <w:rFonts w:ascii="Times New Roman" w:eastAsia="Times New Roman" w:hAnsi="Times New Roman" w:cs="Times New Roman"/>
          <w:sz w:val="24"/>
          <w:szCs w:val="24"/>
          <w:lang w:val="en-US"/>
        </w:rPr>
        <w:t xml:space="preserve"> and the ways that “social forces act upon” writers as Rachel Jackson explains (Jackson 301). </w:t>
      </w:r>
    </w:p>
    <w:p w14:paraId="00000016" w14:textId="2473F0A7" w:rsidR="0006198C" w:rsidRDefault="006F31C5" w:rsidP="003D449E">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While </w:t>
      </w:r>
      <w:r w:rsidR="002077B2">
        <w:rPr>
          <w:rFonts w:ascii="Times New Roman" w:eastAsia="Times New Roman" w:hAnsi="Times New Roman" w:cs="Times New Roman"/>
          <w:sz w:val="24"/>
          <w:szCs w:val="24"/>
          <w:lang w:val="en-US"/>
        </w:rPr>
        <w:t xml:space="preserve">Couch was able to get the SLHP project approved by arguing that life histories would allow Southerners to “speak for themselves” </w:t>
      </w:r>
      <w:r w:rsidR="00F77B44">
        <w:rPr>
          <w:rFonts w:ascii="Times New Roman" w:eastAsia="Times New Roman" w:hAnsi="Times New Roman" w:cs="Times New Roman"/>
          <w:sz w:val="24"/>
          <w:szCs w:val="24"/>
        </w:rPr>
        <w:t>he</w:t>
      </w:r>
      <w:r w:rsidR="00396D63">
        <w:rPr>
          <w:rFonts w:ascii="Times New Roman" w:eastAsia="Times New Roman" w:hAnsi="Times New Roman" w:cs="Times New Roman"/>
          <w:sz w:val="24"/>
          <w:szCs w:val="24"/>
        </w:rPr>
        <w:t xml:space="preserve"> never intended for the histories to be unmediated replications of the exact words of the interviewees as one m</w:t>
      </w:r>
      <w:r w:rsidR="00396D63">
        <w:rPr>
          <w:rFonts w:ascii="Times New Roman" w:eastAsia="Times New Roman" w:hAnsi="Times New Roman" w:cs="Times New Roman"/>
          <w:sz w:val="24"/>
          <w:szCs w:val="24"/>
        </w:rPr>
        <w:t xml:space="preserve">ight expect of oral history transcripts today.[72] Instead, </w:t>
      </w:r>
      <w:r w:rsidR="00F77B44">
        <w:rPr>
          <w:rFonts w:ascii="Times New Roman" w:eastAsia="Times New Roman" w:hAnsi="Times New Roman" w:cs="Times New Roman"/>
          <w:sz w:val="24"/>
          <w:szCs w:val="24"/>
        </w:rPr>
        <w:t xml:space="preserve">he wanted </w:t>
      </w:r>
      <w:r w:rsidR="00396D63">
        <w:rPr>
          <w:rFonts w:ascii="Times New Roman" w:eastAsia="Times New Roman" w:hAnsi="Times New Roman" w:cs="Times New Roman"/>
          <w:sz w:val="24"/>
          <w:szCs w:val="24"/>
        </w:rPr>
        <w:t xml:space="preserve">the SLHP writers </w:t>
      </w:r>
      <w:r w:rsidR="00F77B44">
        <w:rPr>
          <w:rFonts w:ascii="Times New Roman" w:eastAsia="Times New Roman" w:hAnsi="Times New Roman" w:cs="Times New Roman"/>
          <w:sz w:val="24"/>
          <w:szCs w:val="24"/>
        </w:rPr>
        <w:t>to turn</w:t>
      </w:r>
      <w:r w:rsidR="00396D63">
        <w:rPr>
          <w:rFonts w:ascii="Times New Roman" w:eastAsia="Times New Roman" w:hAnsi="Times New Roman" w:cs="Times New Roman"/>
          <w:sz w:val="24"/>
          <w:szCs w:val="24"/>
        </w:rPr>
        <w:t xml:space="preserve"> the raw material</w:t>
      </w:r>
      <w:r w:rsidR="00F77B44">
        <w:rPr>
          <w:rFonts w:ascii="Times New Roman" w:eastAsia="Times New Roman" w:hAnsi="Times New Roman" w:cs="Times New Roman"/>
          <w:sz w:val="24"/>
          <w:szCs w:val="24"/>
        </w:rPr>
        <w:t>s</w:t>
      </w:r>
      <w:r w:rsidR="00396D63">
        <w:rPr>
          <w:rFonts w:ascii="Times New Roman" w:eastAsia="Times New Roman" w:hAnsi="Times New Roman" w:cs="Times New Roman"/>
          <w:sz w:val="24"/>
          <w:szCs w:val="24"/>
        </w:rPr>
        <w:t xml:space="preserve"> from the interviewee into a life history with</w:t>
      </w:r>
      <w:r w:rsidR="002077B2">
        <w:rPr>
          <w:rFonts w:ascii="Times New Roman" w:eastAsia="Times New Roman" w:hAnsi="Times New Roman" w:cs="Times New Roman"/>
          <w:sz w:val="24"/>
          <w:szCs w:val="24"/>
        </w:rPr>
        <w:t xml:space="preserve"> what Couch </w:t>
      </w:r>
      <w:r w:rsidR="004F7792">
        <w:rPr>
          <w:rFonts w:ascii="Times New Roman" w:eastAsia="Times New Roman" w:hAnsi="Times New Roman" w:cs="Times New Roman"/>
          <w:sz w:val="24"/>
          <w:szCs w:val="24"/>
        </w:rPr>
        <w:t>described as</w:t>
      </w:r>
      <w:r w:rsidR="00396D63">
        <w:rPr>
          <w:rFonts w:ascii="Times New Roman" w:eastAsia="Times New Roman" w:hAnsi="Times New Roman" w:cs="Times New Roman"/>
          <w:sz w:val="24"/>
          <w:szCs w:val="24"/>
        </w:rPr>
        <w:t xml:space="preserve"> "literary excellence" that would be more "readable</w:t>
      </w:r>
      <w:r w:rsidR="00396D63">
        <w:rPr>
          <w:rFonts w:ascii="Times New Roman" w:eastAsia="Times New Roman" w:hAnsi="Times New Roman" w:cs="Times New Roman"/>
          <w:sz w:val="24"/>
          <w:szCs w:val="24"/>
        </w:rPr>
        <w:t xml:space="preserve">" </w:t>
      </w:r>
      <w:r w:rsidR="004F7792">
        <w:rPr>
          <w:rFonts w:ascii="Times New Roman" w:eastAsia="Times New Roman" w:hAnsi="Times New Roman" w:cs="Times New Roman"/>
          <w:sz w:val="24"/>
          <w:szCs w:val="24"/>
        </w:rPr>
        <w:t>for a general audience.</w:t>
      </w:r>
      <w:r w:rsidR="00396D63">
        <w:rPr>
          <w:rFonts w:ascii="Times New Roman" w:eastAsia="Times New Roman" w:hAnsi="Times New Roman" w:cs="Times New Roman"/>
          <w:sz w:val="24"/>
          <w:szCs w:val="24"/>
        </w:rPr>
        <w:t>[73]</w:t>
      </w:r>
      <w:r w:rsidR="0006198C">
        <w:rPr>
          <w:rFonts w:ascii="Times New Roman" w:eastAsia="Times New Roman" w:hAnsi="Times New Roman" w:cs="Times New Roman"/>
          <w:sz w:val="24"/>
          <w:szCs w:val="24"/>
        </w:rPr>
        <w:t xml:space="preserve"> </w:t>
      </w:r>
      <w:r w:rsidR="00396D63">
        <w:rPr>
          <w:rFonts w:ascii="Times New Roman" w:eastAsia="Times New Roman" w:hAnsi="Times New Roman" w:cs="Times New Roman"/>
          <w:sz w:val="24"/>
          <w:szCs w:val="24"/>
        </w:rPr>
        <w:t>To achieve such literary excellence, Couch began the project by mandating that State Directors secure "the best qualified writers</w:t>
      </w:r>
      <w:r w:rsidR="0006198C">
        <w:rPr>
          <w:rFonts w:ascii="Times New Roman" w:eastAsia="Times New Roman" w:hAnsi="Times New Roman" w:cs="Times New Roman"/>
          <w:sz w:val="24"/>
          <w:szCs w:val="24"/>
        </w:rPr>
        <w:t>.</w:t>
      </w:r>
      <w:r w:rsidR="00396D63">
        <w:rPr>
          <w:rFonts w:ascii="Times New Roman" w:eastAsia="Times New Roman" w:hAnsi="Times New Roman" w:cs="Times New Roman"/>
          <w:sz w:val="24"/>
          <w:szCs w:val="24"/>
        </w:rPr>
        <w:t xml:space="preserve">" [74] </w:t>
      </w:r>
      <w:r w:rsidR="0006198C">
        <w:rPr>
          <w:rFonts w:ascii="Times New Roman" w:eastAsia="Times New Roman" w:hAnsi="Times New Roman" w:cs="Times New Roman"/>
          <w:sz w:val="24"/>
          <w:szCs w:val="24"/>
        </w:rPr>
        <w:t>A</w:t>
      </w:r>
      <w:r w:rsidR="00396D63">
        <w:rPr>
          <w:rFonts w:ascii="Times New Roman" w:eastAsia="Times New Roman" w:hAnsi="Times New Roman" w:cs="Times New Roman"/>
          <w:sz w:val="24"/>
          <w:szCs w:val="24"/>
        </w:rPr>
        <w:t>s th</w:t>
      </w:r>
      <w:r w:rsidR="0006198C">
        <w:rPr>
          <w:rFonts w:ascii="Times New Roman" w:eastAsia="Times New Roman" w:hAnsi="Times New Roman" w:cs="Times New Roman"/>
          <w:sz w:val="24"/>
          <w:szCs w:val="24"/>
        </w:rPr>
        <w:t xml:space="preserve">e data </w:t>
      </w:r>
      <w:r w:rsidR="00396D63">
        <w:rPr>
          <w:rFonts w:ascii="Times New Roman" w:eastAsia="Times New Roman" w:hAnsi="Times New Roman" w:cs="Times New Roman"/>
          <w:sz w:val="24"/>
          <w:szCs w:val="24"/>
        </w:rPr>
        <w:t>demonstrates</w:t>
      </w:r>
      <w:r w:rsidR="0006198C">
        <w:rPr>
          <w:rFonts w:ascii="Times New Roman" w:eastAsia="Times New Roman" w:hAnsi="Times New Roman" w:cs="Times New Roman"/>
          <w:sz w:val="24"/>
          <w:szCs w:val="24"/>
        </w:rPr>
        <w:t>, such qualifications, according to the project, were overwhelming held by White women. Buy why?</w:t>
      </w:r>
    </w:p>
    <w:p w14:paraId="3538B723" w14:textId="163B3109" w:rsidR="00C55F1B"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6198C">
        <w:rPr>
          <w:rFonts w:ascii="Times New Roman" w:eastAsia="Times New Roman" w:hAnsi="Times New Roman" w:cs="Times New Roman"/>
          <w:sz w:val="24"/>
          <w:szCs w:val="24"/>
        </w:rPr>
        <w:t>A closer look at Bernice Harris</w:t>
      </w:r>
      <w:r w:rsidR="005801F7">
        <w:rPr>
          <w:rFonts w:ascii="Times New Roman" w:eastAsia="Times New Roman" w:hAnsi="Times New Roman" w:cs="Times New Roman"/>
          <w:sz w:val="24"/>
          <w:szCs w:val="24"/>
        </w:rPr>
        <w:t xml:space="preserve"> and Ida Moore, the 2 most prolific </w:t>
      </w:r>
      <w:r w:rsidR="00C55F1B">
        <w:rPr>
          <w:rFonts w:ascii="Times New Roman" w:eastAsia="Times New Roman" w:hAnsi="Times New Roman" w:cs="Times New Roman"/>
          <w:sz w:val="24"/>
          <w:szCs w:val="24"/>
        </w:rPr>
        <w:t xml:space="preserve">writers </w:t>
      </w:r>
      <w:proofErr w:type="gramStart"/>
      <w:r w:rsidR="0006198C">
        <w:rPr>
          <w:rFonts w:ascii="Times New Roman" w:eastAsia="Times New Roman" w:hAnsi="Times New Roman" w:cs="Times New Roman"/>
          <w:sz w:val="24"/>
          <w:szCs w:val="24"/>
        </w:rPr>
        <w:t>helps</w:t>
      </w:r>
      <w:proofErr w:type="gramEnd"/>
      <w:r w:rsidR="0006198C">
        <w:rPr>
          <w:rFonts w:ascii="Times New Roman" w:eastAsia="Times New Roman" w:hAnsi="Times New Roman" w:cs="Times New Roman"/>
          <w:sz w:val="24"/>
          <w:szCs w:val="24"/>
        </w:rPr>
        <w:t xml:space="preserve"> to answer this question.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As </w:t>
      </w:r>
      <w:r w:rsidR="001B48D8">
        <w:rPr>
          <w:rFonts w:ascii="Times New Roman" w:eastAsia="Times New Roman" w:hAnsi="Times New Roman" w:cs="Times New Roman"/>
          <w:sz w:val="24"/>
          <w:szCs w:val="24"/>
        </w:rPr>
        <w:t xml:space="preserve">I </w:t>
      </w:r>
      <w:r>
        <w:rPr>
          <w:rFonts w:ascii="Times New Roman" w:eastAsia="Times New Roman" w:hAnsi="Times New Roman" w:cs="Times New Roman"/>
          <w:sz w:val="24"/>
          <w:szCs w:val="24"/>
        </w:rPr>
        <w:t>mentioned</w:t>
      </w:r>
      <w:r>
        <w:rPr>
          <w:rFonts w:ascii="Times New Roman" w:eastAsia="Times New Roman" w:hAnsi="Times New Roman" w:cs="Times New Roman"/>
          <w:sz w:val="24"/>
          <w:szCs w:val="24"/>
        </w:rPr>
        <w:t>, Harris was hired because of her ability to wr</w:t>
      </w:r>
      <w:r>
        <w:rPr>
          <w:rFonts w:ascii="Times New Roman" w:eastAsia="Times New Roman" w:hAnsi="Times New Roman" w:cs="Times New Roman"/>
          <w:sz w:val="24"/>
          <w:szCs w:val="24"/>
        </w:rPr>
        <w:t xml:space="preserve">ite "authentic and interesting" stories. </w:t>
      </w:r>
    </w:p>
    <w:p w14:paraId="00000017" w14:textId="39F7FAB0" w:rsidR="000B24FA"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Couch saw such an ability as rooted in Harris’ connections with farming communities in her town of Seaboard, NC</w:t>
      </w:r>
      <w:r w:rsidR="008015A0">
        <w:rPr>
          <w:rFonts w:ascii="Times New Roman" w:eastAsia="Times New Roman" w:hAnsi="Times New Roman" w:cs="Times New Roman"/>
          <w:sz w:val="24"/>
          <w:szCs w:val="24"/>
        </w:rPr>
        <w:t xml:space="preserve"> where </w:t>
      </w:r>
      <w:r w:rsidR="00C55F1B">
        <w:rPr>
          <w:rFonts w:ascii="Times New Roman" w:eastAsia="Times New Roman" w:hAnsi="Times New Roman" w:cs="Times New Roman"/>
          <w:sz w:val="24"/>
          <w:szCs w:val="24"/>
        </w:rPr>
        <w:t>her husband operated a cotton gin</w:t>
      </w:r>
      <w:r w:rsidR="008015A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He believed that she could </w:t>
      </w:r>
      <w:r>
        <w:rPr>
          <w:rFonts w:ascii="Times New Roman" w:eastAsia="Times New Roman" w:hAnsi="Times New Roman" w:cs="Times New Roman"/>
          <w:sz w:val="24"/>
          <w:szCs w:val="24"/>
        </w:rPr>
        <w:lastRenderedPageBreak/>
        <w:t>use these connections to gain access to people willing to give their life h</w:t>
      </w:r>
      <w:r>
        <w:rPr>
          <w:rFonts w:ascii="Times New Roman" w:eastAsia="Times New Roman" w:hAnsi="Times New Roman" w:cs="Times New Roman"/>
          <w:sz w:val="24"/>
          <w:szCs w:val="24"/>
        </w:rPr>
        <w:t xml:space="preserve">istories. </w:t>
      </w:r>
      <w:r>
        <w:rPr>
          <w:rFonts w:ascii="Times New Roman" w:eastAsia="Times New Roman" w:hAnsi="Times New Roman" w:cs="Times New Roman"/>
          <w:sz w:val="24"/>
          <w:szCs w:val="24"/>
        </w:rPr>
        <w:t xml:space="preserve">As the data bears out, </w:t>
      </w:r>
      <w:r>
        <w:rPr>
          <w:rFonts w:ascii="Times New Roman" w:eastAsia="Times New Roman" w:hAnsi="Times New Roman" w:cs="Times New Roman"/>
          <w:sz w:val="24"/>
          <w:szCs w:val="24"/>
        </w:rPr>
        <w:t xml:space="preserve">Harris was extremely successful in using her connections to collect interviews. </w:t>
      </w:r>
      <w:r w:rsidR="001B48D8">
        <w:rPr>
          <w:rFonts w:ascii="Times New Roman" w:eastAsia="Times New Roman" w:hAnsi="Times New Roman" w:cs="Times New Roman"/>
          <w:sz w:val="24"/>
          <w:szCs w:val="24"/>
        </w:rPr>
        <w:t>When discussing her success</w:t>
      </w:r>
      <w:r w:rsidR="005801F7">
        <w:rPr>
          <w:rFonts w:ascii="Times New Roman" w:eastAsia="Times New Roman" w:hAnsi="Times New Roman" w:cs="Times New Roman"/>
          <w:sz w:val="24"/>
          <w:szCs w:val="24"/>
        </w:rPr>
        <w:t>,</w:t>
      </w:r>
      <w:r w:rsidR="001B48D8">
        <w:rPr>
          <w:rFonts w:ascii="Times New Roman" w:eastAsia="Times New Roman" w:hAnsi="Times New Roman" w:cs="Times New Roman"/>
          <w:sz w:val="24"/>
          <w:szCs w:val="24"/>
        </w:rPr>
        <w:t xml:space="preserve"> she did </w:t>
      </w:r>
      <w:r w:rsidR="008015A0">
        <w:rPr>
          <w:rFonts w:ascii="Times New Roman" w:eastAsia="Times New Roman" w:hAnsi="Times New Roman" w:cs="Times New Roman"/>
          <w:sz w:val="24"/>
          <w:szCs w:val="24"/>
        </w:rPr>
        <w:t>mention</w:t>
      </w:r>
      <w:r w:rsidR="001B48D8">
        <w:rPr>
          <w:rFonts w:ascii="Times New Roman" w:eastAsia="Times New Roman" w:hAnsi="Times New Roman" w:cs="Times New Roman"/>
          <w:sz w:val="24"/>
          <w:szCs w:val="24"/>
        </w:rPr>
        <w:t xml:space="preserve"> her community connections, but she also described that she was keenly </w:t>
      </w:r>
      <w:r>
        <w:rPr>
          <w:rFonts w:ascii="Times New Roman" w:eastAsia="Times New Roman" w:hAnsi="Times New Roman" w:cs="Times New Roman"/>
          <w:sz w:val="24"/>
          <w:szCs w:val="24"/>
        </w:rPr>
        <w:t>was also able to put people at ease by positioning herself as a “sympathetic listener” ready to receive the stories from "the lonely and forgotten.” [81]</w:t>
      </w:r>
    </w:p>
    <w:p w14:paraId="6B9AAAA6" w14:textId="77777777" w:rsidR="00737467"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Harris’s description of herself as a sympathetic listener, evoking her emotive abilities, reveals how she deployed gendered assumptions that see women as more ‘naturally’ emotional, as a means of establishing her ethos</w:t>
      </w:r>
      <w:r w:rsidR="008015A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a uniquely capabl</w:t>
      </w:r>
      <w:r>
        <w:rPr>
          <w:rFonts w:ascii="Times New Roman" w:eastAsia="Times New Roman" w:hAnsi="Times New Roman" w:cs="Times New Roman"/>
          <w:sz w:val="24"/>
          <w:szCs w:val="24"/>
        </w:rPr>
        <w:t xml:space="preserve">e interviewer. </w:t>
      </w:r>
    </w:p>
    <w:p w14:paraId="00000018" w14:textId="27919F83" w:rsidR="000B24FA"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many scholars of feminist </w:t>
      </w:r>
      <w:proofErr w:type="spellStart"/>
      <w:r>
        <w:rPr>
          <w:rFonts w:ascii="Times New Roman" w:eastAsia="Times New Roman" w:hAnsi="Times New Roman" w:cs="Times New Roman"/>
          <w:sz w:val="24"/>
          <w:szCs w:val="24"/>
        </w:rPr>
        <w:t>rhetorics</w:t>
      </w:r>
      <w:proofErr w:type="spellEnd"/>
      <w:r>
        <w:rPr>
          <w:rFonts w:ascii="Times New Roman" w:eastAsia="Times New Roman" w:hAnsi="Times New Roman" w:cs="Times New Roman"/>
          <w:sz w:val="24"/>
          <w:szCs w:val="24"/>
        </w:rPr>
        <w:t xml:space="preserve"> demonstrate, ethos does not dwell only in the speaker (or rhetor), but rather also with the audience. Establishing credibility and trust often requires understanding and appealing to the beliefs of the </w:t>
      </w:r>
      <w:r>
        <w:rPr>
          <w:rFonts w:ascii="Times New Roman" w:eastAsia="Times New Roman" w:hAnsi="Times New Roman" w:cs="Times New Roman"/>
          <w:sz w:val="24"/>
          <w:szCs w:val="24"/>
        </w:rPr>
        <w:t>audience. [82] For the SLHP, the ethos was tied to the degree to which the writer understood the interviewee and their positionality, including their community. Harris’ credibility then emerged from her positionality as a woman able to be a sympathetic lis</w:t>
      </w:r>
      <w:r>
        <w:rPr>
          <w:rFonts w:ascii="Times New Roman" w:eastAsia="Times New Roman" w:hAnsi="Times New Roman" w:cs="Times New Roman"/>
          <w:sz w:val="24"/>
          <w:szCs w:val="24"/>
        </w:rPr>
        <w:t>tener among her own community.</w:t>
      </w:r>
    </w:p>
    <w:p w14:paraId="0000001C" w14:textId="7859AC04" w:rsidR="000B24FA" w:rsidRDefault="008015A0">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w:t>
      </w:r>
      <w:r w:rsidR="00396D63">
        <w:rPr>
          <w:rFonts w:ascii="Times New Roman" w:eastAsia="Times New Roman" w:hAnsi="Times New Roman" w:cs="Times New Roman"/>
          <w:sz w:val="24"/>
          <w:szCs w:val="24"/>
        </w:rPr>
        <w:t xml:space="preserve"> White women were</w:t>
      </w:r>
      <w:r w:rsidR="00396D63">
        <w:rPr>
          <w:rFonts w:ascii="Times New Roman" w:eastAsia="Times New Roman" w:hAnsi="Times New Roman" w:cs="Times New Roman"/>
          <w:sz w:val="24"/>
          <w:szCs w:val="24"/>
        </w:rPr>
        <w:t xml:space="preserve"> also positioned as less threatening and thus more likely to gain entrance into communities thought to be resistant to interviews. </w:t>
      </w:r>
      <w:r>
        <w:rPr>
          <w:rFonts w:ascii="Times New Roman" w:eastAsia="Times New Roman" w:hAnsi="Times New Roman" w:cs="Times New Roman"/>
          <w:sz w:val="24"/>
          <w:szCs w:val="24"/>
        </w:rPr>
        <w:t xml:space="preserve">Among such communities were </w:t>
      </w:r>
      <w:r w:rsidR="00396D63">
        <w:rPr>
          <w:rFonts w:ascii="Times New Roman" w:eastAsia="Times New Roman" w:hAnsi="Times New Roman" w:cs="Times New Roman"/>
          <w:sz w:val="24"/>
          <w:szCs w:val="24"/>
        </w:rPr>
        <w:t xml:space="preserve">industrial mills </w:t>
      </w:r>
      <w:r>
        <w:rPr>
          <w:rFonts w:ascii="Times New Roman" w:eastAsia="Times New Roman" w:hAnsi="Times New Roman" w:cs="Times New Roman"/>
          <w:sz w:val="24"/>
          <w:szCs w:val="24"/>
        </w:rPr>
        <w:t>towns</w:t>
      </w:r>
      <w:r w:rsidR="00396D63">
        <w:rPr>
          <w:rFonts w:ascii="Times New Roman" w:eastAsia="Times New Roman" w:hAnsi="Times New Roman" w:cs="Times New Roman"/>
          <w:sz w:val="24"/>
          <w:szCs w:val="24"/>
        </w:rPr>
        <w:t>. These mills were known for ha</w:t>
      </w:r>
      <w:r w:rsidR="00396D63">
        <w:rPr>
          <w:rFonts w:ascii="Times New Roman" w:eastAsia="Times New Roman" w:hAnsi="Times New Roman" w:cs="Times New Roman"/>
          <w:sz w:val="24"/>
          <w:szCs w:val="24"/>
        </w:rPr>
        <w:t xml:space="preserve">rsh working conditions and overbearing managerial systems that frowned upon outsiders asking questions. According to Couch, many argued that "‘the effort to get stories from people living in textile mill villages would arouse suspicion and that any person </w:t>
      </w:r>
      <w:r w:rsidR="00396D63">
        <w:rPr>
          <w:rFonts w:ascii="Times New Roman" w:eastAsia="Times New Roman" w:hAnsi="Times New Roman" w:cs="Times New Roman"/>
          <w:sz w:val="24"/>
          <w:szCs w:val="24"/>
        </w:rPr>
        <w:t xml:space="preserve">attempting to get material would very likely be rejected. It was also said that the people would not talk.’" To tackle this problem, Couch assigned Ida Moore the task of securing interviews from mill towns. </w:t>
      </w:r>
    </w:p>
    <w:p w14:paraId="0000001E" w14:textId="00C9220A" w:rsidR="000B24FA" w:rsidRDefault="00396D6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Moore did prove particularly adept in securing interviews from mill workers, conducting 24 of the 86 interviews of mill workers in the collection. Contrary to any difficulty, Moore described how she was called the “writer-lady” a</w:t>
      </w:r>
      <w:r>
        <w:rPr>
          <w:rFonts w:ascii="Times New Roman" w:eastAsia="Times New Roman" w:hAnsi="Times New Roman" w:cs="Times New Roman"/>
          <w:sz w:val="24"/>
          <w:szCs w:val="24"/>
        </w:rPr>
        <w:t>nd welcomed into living rooms, invited to share meals with families who don’t have much food and asked to sit in chairs that are positioned within a few feet of people’s beds in their one-room homes. [86] The success of Moore in gaining entrance to mill co</w:t>
      </w:r>
      <w:r>
        <w:rPr>
          <w:rFonts w:ascii="Times New Roman" w:eastAsia="Times New Roman" w:hAnsi="Times New Roman" w:cs="Times New Roman"/>
          <w:sz w:val="24"/>
          <w:szCs w:val="24"/>
        </w:rPr>
        <w:t>mmunities, led Couch to send other White women to conduct similar interviews</w:t>
      </w:r>
      <w:r w:rsidR="00B32802">
        <w:rPr>
          <w:rFonts w:ascii="Times New Roman" w:eastAsia="Times New Roman" w:hAnsi="Times New Roman" w:cs="Times New Roman"/>
          <w:sz w:val="24"/>
          <w:szCs w:val="24"/>
        </w:rPr>
        <w:t xml:space="preserve">. In </w:t>
      </w:r>
      <w:proofErr w:type="gramStart"/>
      <w:r w:rsidR="00B32802">
        <w:rPr>
          <w:rFonts w:ascii="Times New Roman" w:eastAsia="Times New Roman" w:hAnsi="Times New Roman" w:cs="Times New Roman"/>
          <w:sz w:val="24"/>
          <w:szCs w:val="24"/>
        </w:rPr>
        <w:t>fact</w:t>
      </w:r>
      <w:proofErr w:type="gramEnd"/>
      <w:r w:rsidR="00B328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84%</w:t>
      </w:r>
      <w:r w:rsidR="00B32802">
        <w:rPr>
          <w:rFonts w:ascii="Times New Roman" w:eastAsia="Times New Roman" w:hAnsi="Times New Roman" w:cs="Times New Roman"/>
          <w:sz w:val="24"/>
          <w:szCs w:val="24"/>
        </w:rPr>
        <w:t xml:space="preserve"> of the interviews with mill workers were conducted by white women.</w:t>
      </w:r>
    </w:p>
    <w:p w14:paraId="2049CCE3" w14:textId="04D5AFE2" w:rsidR="006B4AD8" w:rsidRDefault="00FF34B7" w:rsidP="000B5236">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is not spoken in Harris’ description of her ability as sympathetic listener</w:t>
      </w:r>
      <w:r>
        <w:rPr>
          <w:rFonts w:ascii="Times New Roman" w:eastAsia="Times New Roman" w:hAnsi="Times New Roman" w:cs="Times New Roman"/>
          <w:sz w:val="24"/>
          <w:szCs w:val="24"/>
        </w:rPr>
        <w:t xml:space="preserve"> or Moore’s explanation of how she was welcomed</w:t>
      </w:r>
      <w:r w:rsidR="006B4AD8">
        <w:rPr>
          <w:rFonts w:ascii="Times New Roman" w:eastAsia="Times New Roman" w:hAnsi="Times New Roman" w:cs="Times New Roman"/>
          <w:sz w:val="24"/>
          <w:szCs w:val="24"/>
        </w:rPr>
        <w:t xml:space="preserve"> into homes</w:t>
      </w:r>
      <w:r>
        <w:rPr>
          <w:rFonts w:ascii="Times New Roman" w:eastAsia="Times New Roman" w:hAnsi="Times New Roman" w:cs="Times New Roman"/>
          <w:sz w:val="24"/>
          <w:szCs w:val="24"/>
        </w:rPr>
        <w:t xml:space="preserve">, what is visibly invisible, is the way </w:t>
      </w:r>
      <w:r>
        <w:rPr>
          <w:rFonts w:ascii="Times New Roman" w:eastAsia="Times New Roman" w:hAnsi="Times New Roman" w:cs="Times New Roman"/>
          <w:sz w:val="24"/>
          <w:szCs w:val="24"/>
        </w:rPr>
        <w:t>their</w:t>
      </w:r>
      <w:r>
        <w:rPr>
          <w:rFonts w:ascii="Times New Roman" w:eastAsia="Times New Roman" w:hAnsi="Times New Roman" w:cs="Times New Roman"/>
          <w:sz w:val="24"/>
          <w:szCs w:val="24"/>
        </w:rPr>
        <w:t xml:space="preserve"> whiteness is simultaneously used to give </w:t>
      </w:r>
      <w:r>
        <w:rPr>
          <w:rFonts w:ascii="Times New Roman" w:eastAsia="Times New Roman" w:hAnsi="Times New Roman" w:cs="Times New Roman"/>
          <w:sz w:val="24"/>
          <w:szCs w:val="24"/>
        </w:rPr>
        <w:t>them</w:t>
      </w:r>
      <w:r>
        <w:rPr>
          <w:rFonts w:ascii="Times New Roman" w:eastAsia="Times New Roman" w:hAnsi="Times New Roman" w:cs="Times New Roman"/>
          <w:sz w:val="24"/>
          <w:szCs w:val="24"/>
        </w:rPr>
        <w:t xml:space="preserve"> the permission and ability to move freely</w:t>
      </w:r>
      <w:r w:rsidR="006B4AD8">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to acquire interviews from both Black and White residents. Black writers were not afforded this same freedom of movement and access to different racialized communities as consequences for crossing into segregated White-only spaces had violent and potentially lethal results. The 7 Black writers who were hired exclusively interviewed Black residents. </w:t>
      </w:r>
      <w:r>
        <w:rPr>
          <w:rFonts w:ascii="Times New Roman" w:eastAsia="Times New Roman" w:hAnsi="Times New Roman" w:cs="Times New Roman"/>
          <w:sz w:val="24"/>
          <w:szCs w:val="24"/>
        </w:rPr>
        <w:t>Moreover, t</w:t>
      </w:r>
      <w:r>
        <w:rPr>
          <w:rFonts w:ascii="Times New Roman" w:eastAsia="Times New Roman" w:hAnsi="Times New Roman" w:cs="Times New Roman"/>
          <w:sz w:val="24"/>
          <w:szCs w:val="24"/>
        </w:rPr>
        <w:t>he all-White administration of the Southern region of the FWP continually relied on structures of segregation, together with racialized rhetoric defining writing skill and objectivity to veil racist hiring practices that positioned Black writers as “unqualified” to work on the project.</w:t>
      </w:r>
    </w:p>
    <w:p w14:paraId="0000001F" w14:textId="1419D114" w:rsidR="000B24FA" w:rsidRDefault="00FF34B7">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Harris, </w:t>
      </w:r>
      <w:r w:rsidR="00396D63">
        <w:rPr>
          <w:rFonts w:ascii="Times New Roman" w:eastAsia="Times New Roman" w:hAnsi="Times New Roman" w:cs="Times New Roman"/>
          <w:sz w:val="24"/>
          <w:szCs w:val="24"/>
        </w:rPr>
        <w:t>Moore</w:t>
      </w:r>
      <w:r>
        <w:rPr>
          <w:rFonts w:ascii="Times New Roman" w:eastAsia="Times New Roman" w:hAnsi="Times New Roman" w:cs="Times New Roman"/>
          <w:sz w:val="24"/>
          <w:szCs w:val="24"/>
        </w:rPr>
        <w:t>,</w:t>
      </w:r>
      <w:r w:rsidR="00396D63">
        <w:rPr>
          <w:rFonts w:ascii="Times New Roman" w:eastAsia="Times New Roman" w:hAnsi="Times New Roman" w:cs="Times New Roman"/>
          <w:sz w:val="24"/>
          <w:szCs w:val="24"/>
        </w:rPr>
        <w:t xml:space="preserve"> and the other White women writers were afforded ac</w:t>
      </w:r>
      <w:r w:rsidR="00396D63">
        <w:rPr>
          <w:rFonts w:ascii="Times New Roman" w:eastAsia="Times New Roman" w:hAnsi="Times New Roman" w:cs="Times New Roman"/>
          <w:sz w:val="24"/>
          <w:szCs w:val="24"/>
        </w:rPr>
        <w:t xml:space="preserve">cess to these intimate spaces of the home in large part because of </w:t>
      </w:r>
      <w:r w:rsidR="00B32802">
        <w:rPr>
          <w:rFonts w:ascii="Times New Roman" w:eastAsia="Times New Roman" w:hAnsi="Times New Roman" w:cs="Times New Roman"/>
          <w:sz w:val="24"/>
          <w:szCs w:val="24"/>
        </w:rPr>
        <w:t>their</w:t>
      </w:r>
      <w:r w:rsidR="00396D63">
        <w:rPr>
          <w:rFonts w:ascii="Times New Roman" w:eastAsia="Times New Roman" w:hAnsi="Times New Roman" w:cs="Times New Roman"/>
          <w:sz w:val="24"/>
          <w:szCs w:val="24"/>
        </w:rPr>
        <w:t xml:space="preserve"> gender and race. As Jessica Enoch explains, "gender, especially when it is animated by class, culture, race, sexuality, and ability, conditions where a person is able to go, the spaces </w:t>
      </w:r>
      <w:r w:rsidR="00396D63">
        <w:rPr>
          <w:rFonts w:ascii="Times New Roman" w:eastAsia="Times New Roman" w:hAnsi="Times New Roman" w:cs="Times New Roman"/>
          <w:sz w:val="24"/>
          <w:szCs w:val="24"/>
        </w:rPr>
        <w:t xml:space="preserve">that can be occupied, and the kinds of knowledge and credibility that can be cultivated within that space." [87] Because of their positionality in southern society, which was shaped by gendered and racialized ideas that White women were seen as better </w:t>
      </w:r>
      <w:r w:rsidR="00396D63">
        <w:rPr>
          <w:rFonts w:ascii="Times New Roman" w:eastAsia="Times New Roman" w:hAnsi="Times New Roman" w:cs="Times New Roman"/>
          <w:sz w:val="24"/>
          <w:szCs w:val="24"/>
        </w:rPr>
        <w:lastRenderedPageBreak/>
        <w:t>equi</w:t>
      </w:r>
      <w:r w:rsidR="00396D63">
        <w:rPr>
          <w:rFonts w:ascii="Times New Roman" w:eastAsia="Times New Roman" w:hAnsi="Times New Roman" w:cs="Times New Roman"/>
          <w:sz w:val="24"/>
          <w:szCs w:val="24"/>
        </w:rPr>
        <w:t xml:space="preserve">pped to put interviewees at ease, record information and access the domestic spaces in which the interviews occurred. </w:t>
      </w:r>
    </w:p>
    <w:p w14:paraId="00000021" w14:textId="351152D6" w:rsidR="000B24FA" w:rsidRDefault="00396D63">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Today, I have demonstrated how </w:t>
      </w:r>
      <w:r>
        <w:rPr>
          <w:rFonts w:ascii="Times New Roman" w:eastAsia="Times New Roman" w:hAnsi="Times New Roman" w:cs="Times New Roman"/>
          <w:sz w:val="24"/>
          <w:szCs w:val="24"/>
        </w:rPr>
        <w:t xml:space="preserve">metadata analysis </w:t>
      </w:r>
      <w:r>
        <w:rPr>
          <w:rFonts w:ascii="Times New Roman" w:eastAsia="Times New Roman" w:hAnsi="Times New Roman" w:cs="Times New Roman"/>
          <w:sz w:val="24"/>
          <w:szCs w:val="24"/>
        </w:rPr>
        <w:t>can be used a</w:t>
      </w:r>
      <w:r w:rsidR="009A137D">
        <w:rPr>
          <w:rFonts w:ascii="Times New Roman" w:eastAsia="Times New Roman" w:hAnsi="Times New Roman" w:cs="Times New Roman"/>
          <w:sz w:val="24"/>
          <w:szCs w:val="24"/>
        </w:rPr>
        <w:t>s a</w:t>
      </w:r>
      <w:r>
        <w:rPr>
          <w:rFonts w:ascii="Times New Roman" w:eastAsia="Times New Roman" w:hAnsi="Times New Roman" w:cs="Times New Roman"/>
          <w:sz w:val="24"/>
          <w:szCs w:val="24"/>
        </w:rPr>
        <w:t xml:space="preserve"> f</w:t>
      </w:r>
      <w:r>
        <w:rPr>
          <w:rFonts w:ascii="Times New Roman" w:eastAsia="Times New Roman" w:hAnsi="Times New Roman" w:cs="Times New Roman"/>
          <w:sz w:val="24"/>
          <w:szCs w:val="24"/>
        </w:rPr>
        <w:t xml:space="preserve">eminist rhetorical </w:t>
      </w:r>
      <w:r w:rsidR="009A137D">
        <w:rPr>
          <w:rFonts w:ascii="Times New Roman" w:eastAsia="Times New Roman" w:hAnsi="Times New Roman" w:cs="Times New Roman"/>
          <w:sz w:val="24"/>
          <w:szCs w:val="24"/>
        </w:rPr>
        <w:t>historiography</w:t>
      </w:r>
      <w:r>
        <w:rPr>
          <w:rFonts w:ascii="Times New Roman" w:eastAsia="Times New Roman" w:hAnsi="Times New Roman" w:cs="Times New Roman"/>
          <w:sz w:val="24"/>
          <w:szCs w:val="24"/>
        </w:rPr>
        <w:t xml:space="preserve"> method to make visible contributions that may not have otherwise </w:t>
      </w:r>
      <w:r>
        <w:rPr>
          <w:rFonts w:ascii="Times New Roman" w:eastAsia="Times New Roman" w:hAnsi="Times New Roman" w:cs="Times New Roman"/>
          <w:sz w:val="24"/>
          <w:szCs w:val="24"/>
        </w:rPr>
        <w:t xml:space="preserve">been seen. In so doing, I build on the work of growing number of feminist rhetoricians of history interested in digital methods. As Van </w:t>
      </w:r>
      <w:proofErr w:type="spellStart"/>
      <w:r>
        <w:rPr>
          <w:rFonts w:ascii="Times New Roman" w:eastAsia="Times New Roman" w:hAnsi="Times New Roman" w:cs="Times New Roman"/>
          <w:sz w:val="24"/>
          <w:szCs w:val="24"/>
        </w:rPr>
        <w:t>Haitsma</w:t>
      </w:r>
      <w:proofErr w:type="spellEnd"/>
      <w:r>
        <w:rPr>
          <w:rFonts w:ascii="Times New Roman" w:eastAsia="Times New Roman" w:hAnsi="Times New Roman" w:cs="Times New Roman"/>
          <w:sz w:val="24"/>
          <w:szCs w:val="24"/>
        </w:rPr>
        <w:t xml:space="preserve"> argues me</w:t>
      </w:r>
      <w:r>
        <w:rPr>
          <w:rFonts w:ascii="Times New Roman" w:eastAsia="Times New Roman" w:hAnsi="Times New Roman" w:cs="Times New Roman"/>
          <w:sz w:val="24"/>
          <w:szCs w:val="24"/>
        </w:rPr>
        <w:t xml:space="preserve">tadata forms an “archival “richness” that can function to “rematerialize “gaps” in historical records as well offering ways to </w:t>
      </w:r>
      <w:proofErr w:type="spellStart"/>
      <w:r>
        <w:rPr>
          <w:rFonts w:ascii="Times New Roman" w:eastAsia="Times New Roman" w:hAnsi="Times New Roman" w:cs="Times New Roman"/>
          <w:sz w:val="24"/>
          <w:szCs w:val="24"/>
        </w:rPr>
        <w:t>destabliz</w:t>
      </w:r>
      <w:r w:rsidR="009A137D">
        <w:rPr>
          <w:rFonts w:ascii="Times New Roman" w:eastAsia="Times New Roman" w:hAnsi="Times New Roman" w:cs="Times New Roman"/>
          <w:sz w:val="24"/>
          <w:szCs w:val="24"/>
        </w:rPr>
        <w:t>e</w:t>
      </w:r>
      <w:proofErr w:type="spellEnd"/>
      <w:r>
        <w:rPr>
          <w:rFonts w:ascii="Times New Roman" w:eastAsia="Times New Roman" w:hAnsi="Times New Roman" w:cs="Times New Roman"/>
          <w:sz w:val="24"/>
          <w:szCs w:val="24"/>
        </w:rPr>
        <w:t xml:space="preserve"> “normative archival practices”</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as Rawson explains. </w:t>
      </w:r>
      <w:r w:rsidR="00736EFF">
        <w:rPr>
          <w:rFonts w:ascii="Times New Roman" w:eastAsia="Times New Roman" w:hAnsi="Times New Roman" w:cs="Times New Roman"/>
          <w:sz w:val="24"/>
          <w:szCs w:val="24"/>
        </w:rPr>
        <w:t>M</w:t>
      </w:r>
      <w:r>
        <w:rPr>
          <w:rFonts w:ascii="Times New Roman" w:eastAsia="Times New Roman" w:hAnsi="Times New Roman" w:cs="Times New Roman"/>
          <w:sz w:val="24"/>
          <w:szCs w:val="24"/>
        </w:rPr>
        <w:t>etadata practices that help to re</w:t>
      </w:r>
      <w:r>
        <w:rPr>
          <w:rFonts w:ascii="Times New Roman" w:eastAsia="Times New Roman" w:hAnsi="Times New Roman" w:cs="Times New Roman"/>
          <w:sz w:val="24"/>
          <w:szCs w:val="24"/>
        </w:rPr>
        <w:t xml:space="preserve">ad the archive at a distance must necessarily be combined </w:t>
      </w:r>
      <w:r>
        <w:rPr>
          <w:rFonts w:ascii="Times New Roman" w:eastAsia="Times New Roman" w:hAnsi="Times New Roman" w:cs="Times New Roman"/>
          <w:sz w:val="24"/>
          <w:szCs w:val="24"/>
        </w:rPr>
        <w:t xml:space="preserve">close reading </w:t>
      </w:r>
      <w:r w:rsidR="00736EFF">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archival texts that draw attention to the power structures embedded in archival collections and the historical conditions that led to their collection. </w:t>
      </w:r>
      <w:r w:rsidR="00736EFF">
        <w:rPr>
          <w:rFonts w:ascii="Times New Roman" w:eastAsia="Times New Roman" w:hAnsi="Times New Roman" w:cs="Times New Roman"/>
          <w:sz w:val="24"/>
          <w:szCs w:val="24"/>
        </w:rPr>
        <w:t xml:space="preserve">Such methods </w:t>
      </w:r>
      <w:r>
        <w:rPr>
          <w:rFonts w:ascii="Times New Roman" w:eastAsia="Times New Roman" w:hAnsi="Times New Roman" w:cs="Times New Roman"/>
          <w:sz w:val="24"/>
          <w:szCs w:val="24"/>
        </w:rPr>
        <w:t>can also offer new ways to see archives making visible patterns and connections that might otherwise be lost.</w:t>
      </w:r>
    </w:p>
    <w:p w14:paraId="00000022" w14:textId="77777777" w:rsidR="000B24FA" w:rsidRDefault="000B24FA">
      <w:pPr>
        <w:spacing w:line="240" w:lineRule="auto"/>
        <w:jc w:val="both"/>
        <w:rPr>
          <w:rFonts w:ascii="Times New Roman" w:eastAsia="Times New Roman" w:hAnsi="Times New Roman" w:cs="Times New Roman"/>
          <w:sz w:val="24"/>
          <w:szCs w:val="24"/>
        </w:rPr>
      </w:pPr>
    </w:p>
    <w:p w14:paraId="00000023" w14:textId="77777777" w:rsidR="000B24FA" w:rsidRDefault="000B24FA"/>
    <w:sectPr w:rsidR="000B24FA">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AC9E3" w14:textId="77777777" w:rsidR="00396D63" w:rsidRDefault="00396D63">
      <w:pPr>
        <w:spacing w:line="240" w:lineRule="auto"/>
      </w:pPr>
      <w:r>
        <w:separator/>
      </w:r>
    </w:p>
  </w:endnote>
  <w:endnote w:type="continuationSeparator" w:id="0">
    <w:p w14:paraId="26B6907A" w14:textId="77777777" w:rsidR="00396D63" w:rsidRDefault="00396D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9" w14:textId="24F8B10A" w:rsidR="000B24FA" w:rsidRDefault="00396D63">
    <w:pPr>
      <w:jc w:val="right"/>
    </w:pPr>
    <w:r>
      <w:fldChar w:fldCharType="begin"/>
    </w:r>
    <w:r>
      <w:instrText>PAGE</w:instrText>
    </w:r>
    <w:r>
      <w:fldChar w:fldCharType="separate"/>
    </w:r>
    <w:r w:rsidR="0059039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D64E4" w14:textId="77777777" w:rsidR="00396D63" w:rsidRDefault="00396D63">
      <w:pPr>
        <w:spacing w:line="240" w:lineRule="auto"/>
      </w:pPr>
      <w:r>
        <w:separator/>
      </w:r>
    </w:p>
  </w:footnote>
  <w:footnote w:type="continuationSeparator" w:id="0">
    <w:p w14:paraId="22D1C408" w14:textId="77777777" w:rsidR="00396D63" w:rsidRDefault="00396D63">
      <w:pPr>
        <w:spacing w:line="240" w:lineRule="auto"/>
      </w:pPr>
      <w:r>
        <w:continuationSeparator/>
      </w:r>
    </w:p>
  </w:footnote>
  <w:footnote w:id="1">
    <w:p w14:paraId="00000026" w14:textId="77777777" w:rsidR="000B24FA" w:rsidRDefault="00396D63">
      <w:pPr>
        <w:spacing w:line="240" w:lineRule="auto"/>
        <w:jc w:val="both"/>
        <w:rPr>
          <w:rFonts w:ascii="Times New Roman" w:eastAsia="Times New Roman" w:hAnsi="Times New Roman" w:cs="Times New Roman"/>
          <w:sz w:val="21"/>
          <w:szCs w:val="21"/>
        </w:rPr>
      </w:pPr>
      <w:r>
        <w:rPr>
          <w:vertAlign w:val="superscript"/>
        </w:rPr>
        <w:footnoteRef/>
      </w:r>
      <w:r>
        <w:rPr>
          <w:rFonts w:ascii="Times New Roman" w:eastAsia="Times New Roman" w:hAnsi="Times New Roman" w:cs="Times New Roman"/>
          <w:sz w:val="21"/>
          <w:szCs w:val="21"/>
        </w:rPr>
        <w:t xml:space="preserve"> </w:t>
      </w:r>
      <w:hyperlink r:id="rId1">
        <w:r>
          <w:rPr>
            <w:rFonts w:ascii="Times New Roman" w:eastAsia="Times New Roman" w:hAnsi="Times New Roman" w:cs="Times New Roman"/>
            <w:sz w:val="21"/>
            <w:szCs w:val="21"/>
          </w:rPr>
          <w:t xml:space="preserve">William Terry Couch, ed., </w:t>
        </w:r>
      </w:hyperlink>
      <w:hyperlink r:id="rId2">
        <w:r>
          <w:rPr>
            <w:rFonts w:ascii="Times New Roman" w:eastAsia="Times New Roman" w:hAnsi="Times New Roman" w:cs="Times New Roman"/>
            <w:i/>
            <w:sz w:val="21"/>
            <w:szCs w:val="21"/>
          </w:rPr>
          <w:t>These Are Our Lives</w:t>
        </w:r>
      </w:hyperlink>
      <w:hyperlink r:id="rId3">
        <w:r>
          <w:rPr>
            <w:rFonts w:ascii="Times New Roman" w:eastAsia="Times New Roman" w:hAnsi="Times New Roman" w:cs="Times New Roman"/>
            <w:sz w:val="21"/>
            <w:szCs w:val="21"/>
          </w:rPr>
          <w:t xml:space="preserve"> (University of North Carolina Press, 1939), x–xi.</w:t>
        </w:r>
      </w:hyperlink>
    </w:p>
  </w:footnote>
  <w:footnote w:id="2">
    <w:p w14:paraId="00000028" w14:textId="77777777" w:rsidR="000B24FA" w:rsidRDefault="00396D63">
      <w:pPr>
        <w:spacing w:line="240" w:lineRule="auto"/>
        <w:rPr>
          <w:rFonts w:ascii="Times New Roman" w:eastAsia="Times New Roman" w:hAnsi="Times New Roman" w:cs="Times New Roman"/>
          <w:sz w:val="20"/>
          <w:szCs w:val="20"/>
          <w:vertAlign w:val="superscript"/>
        </w:rPr>
      </w:pPr>
      <w:r>
        <w:rPr>
          <w:vertAlign w:val="superscript"/>
        </w:rPr>
        <w:footnoteRef/>
      </w:r>
      <w:r>
        <w:rPr>
          <w:rFonts w:ascii="Calibri" w:eastAsia="Calibri" w:hAnsi="Calibri" w:cs="Calibri"/>
          <w:sz w:val="20"/>
          <w:szCs w:val="20"/>
          <w:vertAlign w:val="superscript"/>
        </w:rPr>
        <w:t xml:space="preserve"> </w:t>
      </w:r>
      <w:r>
        <w:rPr>
          <w:rFonts w:ascii="Times New Roman" w:eastAsia="Times New Roman" w:hAnsi="Times New Roman" w:cs="Times New Roman"/>
          <w:sz w:val="20"/>
          <w:szCs w:val="20"/>
        </w:rPr>
        <w:t>Rawson, “The Rhetorical Power of Archival Description.”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4FA"/>
    <w:rsid w:val="0006198C"/>
    <w:rsid w:val="000A7C89"/>
    <w:rsid w:val="000B24FA"/>
    <w:rsid w:val="000B5236"/>
    <w:rsid w:val="000E7139"/>
    <w:rsid w:val="00192806"/>
    <w:rsid w:val="001B48D8"/>
    <w:rsid w:val="001C0563"/>
    <w:rsid w:val="002077B2"/>
    <w:rsid w:val="00396D63"/>
    <w:rsid w:val="003D3062"/>
    <w:rsid w:val="003D449E"/>
    <w:rsid w:val="004F7792"/>
    <w:rsid w:val="00522B61"/>
    <w:rsid w:val="005801F7"/>
    <w:rsid w:val="00590395"/>
    <w:rsid w:val="005C5AEB"/>
    <w:rsid w:val="00696276"/>
    <w:rsid w:val="006B4AD8"/>
    <w:rsid w:val="006D54E1"/>
    <w:rsid w:val="006F31C5"/>
    <w:rsid w:val="00736EFF"/>
    <w:rsid w:val="00737467"/>
    <w:rsid w:val="008015A0"/>
    <w:rsid w:val="00833455"/>
    <w:rsid w:val="0084353F"/>
    <w:rsid w:val="009A137D"/>
    <w:rsid w:val="009A14DF"/>
    <w:rsid w:val="00B32802"/>
    <w:rsid w:val="00BF4A1B"/>
    <w:rsid w:val="00C55F1B"/>
    <w:rsid w:val="00C7443D"/>
    <w:rsid w:val="00D143CF"/>
    <w:rsid w:val="00D430F3"/>
    <w:rsid w:val="00D92AC0"/>
    <w:rsid w:val="00F77B44"/>
    <w:rsid w:val="00FF3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46901D"/>
  <w15:docId w15:val="{E1B73476-F9C2-F34A-A157-401422CC8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84353F"/>
    <w:rPr>
      <w:sz w:val="16"/>
      <w:szCs w:val="16"/>
    </w:rPr>
  </w:style>
  <w:style w:type="paragraph" w:styleId="CommentText">
    <w:name w:val="annotation text"/>
    <w:basedOn w:val="Normal"/>
    <w:link w:val="CommentTextChar"/>
    <w:uiPriority w:val="99"/>
    <w:semiHidden/>
    <w:unhideWhenUsed/>
    <w:rsid w:val="0084353F"/>
    <w:pPr>
      <w:spacing w:line="240" w:lineRule="auto"/>
    </w:pPr>
    <w:rPr>
      <w:sz w:val="20"/>
      <w:szCs w:val="20"/>
    </w:rPr>
  </w:style>
  <w:style w:type="character" w:customStyle="1" w:styleId="CommentTextChar">
    <w:name w:val="Comment Text Char"/>
    <w:basedOn w:val="DefaultParagraphFont"/>
    <w:link w:val="CommentText"/>
    <w:uiPriority w:val="99"/>
    <w:semiHidden/>
    <w:rsid w:val="0084353F"/>
    <w:rPr>
      <w:sz w:val="20"/>
      <w:szCs w:val="20"/>
    </w:rPr>
  </w:style>
  <w:style w:type="paragraph" w:styleId="CommentSubject">
    <w:name w:val="annotation subject"/>
    <w:basedOn w:val="CommentText"/>
    <w:next w:val="CommentText"/>
    <w:link w:val="CommentSubjectChar"/>
    <w:uiPriority w:val="99"/>
    <w:semiHidden/>
    <w:unhideWhenUsed/>
    <w:rsid w:val="0084353F"/>
    <w:rPr>
      <w:b/>
      <w:bCs/>
    </w:rPr>
  </w:style>
  <w:style w:type="character" w:customStyle="1" w:styleId="CommentSubjectChar">
    <w:name w:val="Comment Subject Char"/>
    <w:basedOn w:val="CommentTextChar"/>
    <w:link w:val="CommentSubject"/>
    <w:uiPriority w:val="99"/>
    <w:semiHidden/>
    <w:rsid w:val="0084353F"/>
    <w:rPr>
      <w:b/>
      <w:bCs/>
      <w:sz w:val="20"/>
      <w:szCs w:val="20"/>
    </w:rPr>
  </w:style>
  <w:style w:type="paragraph" w:styleId="Revision">
    <w:name w:val="Revision"/>
    <w:hidden/>
    <w:uiPriority w:val="99"/>
    <w:semiHidden/>
    <w:rsid w:val="000E7139"/>
    <w:pPr>
      <w:spacing w:line="240" w:lineRule="auto"/>
    </w:pPr>
  </w:style>
  <w:style w:type="paragraph" w:styleId="NormalWeb">
    <w:name w:val="Normal (Web)"/>
    <w:basedOn w:val="Normal"/>
    <w:uiPriority w:val="99"/>
    <w:semiHidden/>
    <w:unhideWhenUsed/>
    <w:rsid w:val="00F77B4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F77B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4097">
      <w:bodyDiv w:val="1"/>
      <w:marLeft w:val="0"/>
      <w:marRight w:val="0"/>
      <w:marTop w:val="0"/>
      <w:marBottom w:val="0"/>
      <w:divBdr>
        <w:top w:val="none" w:sz="0" w:space="0" w:color="auto"/>
        <w:left w:val="none" w:sz="0" w:space="0" w:color="auto"/>
        <w:bottom w:val="none" w:sz="0" w:space="0" w:color="auto"/>
        <w:right w:val="none" w:sz="0" w:space="0" w:color="auto"/>
      </w:divBdr>
      <w:divsChild>
        <w:div w:id="1204756012">
          <w:marLeft w:val="0"/>
          <w:marRight w:val="0"/>
          <w:marTop w:val="0"/>
          <w:marBottom w:val="0"/>
          <w:divBdr>
            <w:top w:val="none" w:sz="0" w:space="0" w:color="auto"/>
            <w:left w:val="none" w:sz="0" w:space="0" w:color="auto"/>
            <w:bottom w:val="none" w:sz="0" w:space="0" w:color="auto"/>
            <w:right w:val="none" w:sz="0" w:space="0" w:color="auto"/>
          </w:divBdr>
        </w:div>
      </w:divsChild>
    </w:div>
    <w:div w:id="333069681">
      <w:bodyDiv w:val="1"/>
      <w:marLeft w:val="0"/>
      <w:marRight w:val="0"/>
      <w:marTop w:val="0"/>
      <w:marBottom w:val="0"/>
      <w:divBdr>
        <w:top w:val="none" w:sz="0" w:space="0" w:color="auto"/>
        <w:left w:val="none" w:sz="0" w:space="0" w:color="auto"/>
        <w:bottom w:val="none" w:sz="0" w:space="0" w:color="auto"/>
        <w:right w:val="none" w:sz="0" w:space="0" w:color="auto"/>
      </w:divBdr>
    </w:div>
    <w:div w:id="407003217">
      <w:bodyDiv w:val="1"/>
      <w:marLeft w:val="0"/>
      <w:marRight w:val="0"/>
      <w:marTop w:val="0"/>
      <w:marBottom w:val="0"/>
      <w:divBdr>
        <w:top w:val="none" w:sz="0" w:space="0" w:color="auto"/>
        <w:left w:val="none" w:sz="0" w:space="0" w:color="auto"/>
        <w:bottom w:val="none" w:sz="0" w:space="0" w:color="auto"/>
        <w:right w:val="none" w:sz="0" w:space="0" w:color="auto"/>
      </w:divBdr>
    </w:div>
    <w:div w:id="1081752561">
      <w:bodyDiv w:val="1"/>
      <w:marLeft w:val="0"/>
      <w:marRight w:val="0"/>
      <w:marTop w:val="0"/>
      <w:marBottom w:val="0"/>
      <w:divBdr>
        <w:top w:val="none" w:sz="0" w:space="0" w:color="auto"/>
        <w:left w:val="none" w:sz="0" w:space="0" w:color="auto"/>
        <w:bottom w:val="none" w:sz="0" w:space="0" w:color="auto"/>
        <w:right w:val="none" w:sz="0" w:space="0" w:color="auto"/>
      </w:divBdr>
    </w:div>
    <w:div w:id="1337688055">
      <w:bodyDiv w:val="1"/>
      <w:marLeft w:val="0"/>
      <w:marRight w:val="0"/>
      <w:marTop w:val="0"/>
      <w:marBottom w:val="0"/>
      <w:divBdr>
        <w:top w:val="none" w:sz="0" w:space="0" w:color="auto"/>
        <w:left w:val="none" w:sz="0" w:space="0" w:color="auto"/>
        <w:bottom w:val="none" w:sz="0" w:space="0" w:color="auto"/>
        <w:right w:val="none" w:sz="0" w:space="0" w:color="auto"/>
      </w:divBdr>
    </w:div>
    <w:div w:id="16256918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www.zotero.org/google-docs/?LKNlrW" TargetMode="External"/><Relationship Id="rId2" Type="http://schemas.openxmlformats.org/officeDocument/2006/relationships/hyperlink" Target="https://www.zotero.org/google-docs/?LKNlrW" TargetMode="External"/><Relationship Id="rId1" Type="http://schemas.openxmlformats.org/officeDocument/2006/relationships/hyperlink" Target="https://www.zotero.org/google-docs/?LKNl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1980</Words>
  <Characters>11286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Rivard, Courtney J</cp:lastModifiedBy>
  <cp:revision>3</cp:revision>
  <dcterms:created xsi:type="dcterms:W3CDTF">2022-05-28T13:21:00Z</dcterms:created>
  <dcterms:modified xsi:type="dcterms:W3CDTF">2022-05-28T13:22:00Z</dcterms:modified>
</cp:coreProperties>
</file>